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25" w:rsidRPr="00047E25" w:rsidRDefault="00047E25" w:rsidP="00955ED5">
      <w:pPr>
        <w:spacing w:after="0" w:line="360" w:lineRule="auto"/>
      </w:pPr>
      <w:r w:rsidRPr="00047E25">
        <w:t xml:space="preserve">KLASA: </w:t>
      </w:r>
      <w:r w:rsidR="00523F73">
        <w:t>401-01/19-01/12</w:t>
      </w:r>
    </w:p>
    <w:p w:rsidR="00EF66C1" w:rsidRDefault="00047E25" w:rsidP="00955ED5">
      <w:pPr>
        <w:spacing w:after="0" w:line="360" w:lineRule="auto"/>
      </w:pPr>
      <w:r w:rsidRPr="00047E25">
        <w:t xml:space="preserve">URBROJ: </w:t>
      </w:r>
      <w:r w:rsidR="00523F73">
        <w:t>2144-15-01-19-1</w:t>
      </w:r>
    </w:p>
    <w:p w:rsidR="00955ED5" w:rsidRDefault="00EF66C1" w:rsidP="00955ED5">
      <w:pPr>
        <w:spacing w:after="0" w:line="360" w:lineRule="auto"/>
      </w:pPr>
      <w:r>
        <w:t>Labin,</w:t>
      </w:r>
      <w:r w:rsidR="00523F73">
        <w:t xml:space="preserve"> 30.10.2019.</w:t>
      </w:r>
    </w:p>
    <w:p w:rsidR="00955ED5" w:rsidRDefault="00955ED5" w:rsidP="00955ED5">
      <w:pPr>
        <w:spacing w:after="0" w:line="360" w:lineRule="auto"/>
      </w:pPr>
    </w:p>
    <w:p w:rsidR="00047E25" w:rsidRPr="00047E25" w:rsidRDefault="00047E25" w:rsidP="00955ED5">
      <w:pPr>
        <w:spacing w:after="0" w:line="360" w:lineRule="auto"/>
      </w:pPr>
      <w:r w:rsidRPr="00047E25">
        <w:t>Na temelju članka</w:t>
      </w:r>
      <w:r w:rsidR="00AE7160">
        <w:t xml:space="preserve"> </w:t>
      </w:r>
      <w:r w:rsidR="00FF4C83">
        <w:t>119.</w:t>
      </w:r>
      <w:r w:rsidR="003F6245">
        <w:rPr>
          <w:color w:val="FF0000"/>
        </w:rPr>
        <w:t xml:space="preserve"> </w:t>
      </w:r>
      <w:r w:rsidR="004A1D12">
        <w:t xml:space="preserve">Statuta </w:t>
      </w:r>
      <w:r w:rsidR="004A1D12" w:rsidRPr="00955ED5">
        <w:t xml:space="preserve">OŠ </w:t>
      </w:r>
      <w:r w:rsidR="00AE7160" w:rsidRPr="00955ED5">
        <w:t xml:space="preserve">Matije </w:t>
      </w:r>
      <w:proofErr w:type="spellStart"/>
      <w:r w:rsidR="00AE7160" w:rsidRPr="00955ED5">
        <w:t>Vlačića</w:t>
      </w:r>
      <w:proofErr w:type="spellEnd"/>
      <w:r w:rsidR="004A1D12" w:rsidRPr="00955ED5">
        <w:t xml:space="preserve"> Labin</w:t>
      </w:r>
      <w:r w:rsidR="004A1D12">
        <w:t xml:space="preserve">, </w:t>
      </w:r>
      <w:r w:rsidR="00955ED5">
        <w:t xml:space="preserve">u skladu sa </w:t>
      </w:r>
      <w:r w:rsidR="004A1D12">
        <w:t xml:space="preserve">čl. </w:t>
      </w:r>
      <w:r w:rsidRPr="00047E25">
        <w:t xml:space="preserve">34. Zakona o fiskalnoj odgovornosti (Narodne novine, br. 111/18) i članka 7. Uredbe o sastavljanju i predaji Izjave o fiskalnoj odgovornosti (Narodne novine, broj 95/19) </w:t>
      </w:r>
      <w:r w:rsidR="00EF66C1">
        <w:t>ravnatelj</w:t>
      </w:r>
      <w:r w:rsidR="004A1D12">
        <w:t xml:space="preserve"> Škole</w:t>
      </w:r>
      <w:r w:rsidR="00AE7160">
        <w:t xml:space="preserve"> Edi </w:t>
      </w:r>
      <w:proofErr w:type="spellStart"/>
      <w:r w:rsidR="00AE7160">
        <w:t>Juričić</w:t>
      </w:r>
      <w:proofErr w:type="spellEnd"/>
      <w:r w:rsidR="004A1D12">
        <w:t>,</w:t>
      </w:r>
      <w:r w:rsidR="003F6245">
        <w:t xml:space="preserve"> </w:t>
      </w:r>
      <w:r w:rsidR="004A1D12">
        <w:t xml:space="preserve">prof. dana  </w:t>
      </w:r>
      <w:r w:rsidR="00E87106">
        <w:t>30.10.2019.</w:t>
      </w:r>
      <w:r w:rsidR="004A1D12" w:rsidRPr="003F6245">
        <w:rPr>
          <w:color w:val="FF0000"/>
        </w:rPr>
        <w:t xml:space="preserve">             </w:t>
      </w:r>
      <w:r w:rsidR="004A1D12">
        <w:t xml:space="preserve">    donosi</w:t>
      </w:r>
      <w:r w:rsidR="00955ED5">
        <w:t>:</w:t>
      </w:r>
    </w:p>
    <w:p w:rsidR="00955ED5" w:rsidRDefault="00955ED5" w:rsidP="00955ED5">
      <w:pPr>
        <w:spacing w:line="360" w:lineRule="auto"/>
        <w:rPr>
          <w:b/>
        </w:rPr>
      </w:pPr>
    </w:p>
    <w:p w:rsidR="00955ED5" w:rsidRDefault="00047E25" w:rsidP="00955ED5">
      <w:pPr>
        <w:spacing w:line="360" w:lineRule="auto"/>
        <w:jc w:val="center"/>
        <w:rPr>
          <w:b/>
        </w:rPr>
      </w:pPr>
      <w:r w:rsidRPr="004A1D12">
        <w:rPr>
          <w:b/>
        </w:rPr>
        <w:t xml:space="preserve">PROCEDURU ZAPRIMANJA I PROVJERE RAČUNA </w:t>
      </w:r>
      <w:r w:rsidR="00955ED5">
        <w:rPr>
          <w:b/>
        </w:rPr>
        <w:t>I DRUGIH DOKUMENATA,</w:t>
      </w:r>
    </w:p>
    <w:p w:rsidR="00955ED5" w:rsidRDefault="00955ED5" w:rsidP="00955ED5">
      <w:pPr>
        <w:spacing w:line="360" w:lineRule="auto"/>
        <w:jc w:val="center"/>
        <w:rPr>
          <w:b/>
        </w:rPr>
      </w:pPr>
      <w:r>
        <w:rPr>
          <w:b/>
        </w:rPr>
        <w:t xml:space="preserve"> NJIHOVA PROVJERA I PRAVOVREMENOG </w:t>
      </w:r>
      <w:r w:rsidR="00047E25" w:rsidRPr="004A1D12">
        <w:rPr>
          <w:b/>
        </w:rPr>
        <w:t xml:space="preserve">PLAĆANJA </w:t>
      </w:r>
    </w:p>
    <w:p w:rsidR="00955ED5" w:rsidRDefault="00955ED5" w:rsidP="00955ED5">
      <w:pPr>
        <w:spacing w:line="360" w:lineRule="auto"/>
        <w:jc w:val="center"/>
        <w:rPr>
          <w:b/>
        </w:rPr>
      </w:pPr>
      <w:r>
        <w:rPr>
          <w:b/>
        </w:rPr>
        <w:t xml:space="preserve">U </w:t>
      </w:r>
      <w:r w:rsidR="004A1D12">
        <w:rPr>
          <w:b/>
        </w:rPr>
        <w:t xml:space="preserve">OŠ </w:t>
      </w:r>
      <w:r w:rsidR="00AE7160">
        <w:rPr>
          <w:b/>
        </w:rPr>
        <w:t>MATIJE VLAČIĆA</w:t>
      </w:r>
      <w:r w:rsidR="004A1D12">
        <w:rPr>
          <w:b/>
        </w:rPr>
        <w:t xml:space="preserve"> LABIN</w:t>
      </w:r>
    </w:p>
    <w:p w:rsidR="007A39C1" w:rsidRPr="007A39C1" w:rsidRDefault="007A39C1" w:rsidP="007A39C1">
      <w:pPr>
        <w:spacing w:line="360" w:lineRule="auto"/>
        <w:jc w:val="both"/>
      </w:pPr>
      <w:r w:rsidRPr="007A39C1">
        <w:t>I. OPĆE ODREDBE</w:t>
      </w:r>
    </w:p>
    <w:p w:rsidR="00955ED5" w:rsidRPr="00955ED5" w:rsidRDefault="00955ED5" w:rsidP="00955ED5">
      <w:pPr>
        <w:spacing w:line="360" w:lineRule="auto"/>
        <w:jc w:val="both"/>
      </w:pPr>
      <w:r w:rsidRPr="00955ED5">
        <w:t xml:space="preserve">Ovom se Procedurom uređuju prava, obaveze, dokumenti i postupanja za isplate na teret sredstava Proračuna </w:t>
      </w:r>
      <w:r>
        <w:t xml:space="preserve">OŠ Matije </w:t>
      </w:r>
      <w:proofErr w:type="spellStart"/>
      <w:r>
        <w:t>Vlačića</w:t>
      </w:r>
      <w:proofErr w:type="spellEnd"/>
      <w:r>
        <w:t xml:space="preserve"> Labin</w:t>
      </w:r>
      <w:r w:rsidRPr="00955ED5">
        <w:t>, a svrha mu je ažurno i uredno ispunjavanje proračunom preuzetih obaveza, te provjera zakonitosti, svrsishodnosti i namjenskog trošenja proračunskih sredstava.</w:t>
      </w:r>
    </w:p>
    <w:p w:rsidR="00955ED5" w:rsidRPr="00955ED5" w:rsidRDefault="00955ED5" w:rsidP="00955ED5">
      <w:pPr>
        <w:spacing w:line="360" w:lineRule="auto"/>
      </w:pPr>
      <w:r w:rsidRPr="00955ED5">
        <w:t>Isplate na teret proračunskih sredstava smiju se izvršavati temeljem:</w:t>
      </w:r>
    </w:p>
    <w:p w:rsidR="00955ED5" w:rsidRPr="00955ED5" w:rsidRDefault="00955ED5" w:rsidP="00955ED5">
      <w:pPr>
        <w:pStyle w:val="Odlomakpopisa"/>
        <w:numPr>
          <w:ilvl w:val="0"/>
          <w:numId w:val="1"/>
        </w:numPr>
        <w:spacing w:line="360" w:lineRule="auto"/>
        <w:jc w:val="both"/>
      </w:pPr>
      <w:r w:rsidRPr="00955ED5">
        <w:t>ulaznih e-Računa putem FINA-inog servisa e-Račun za državu, ulaznih računa u papirnatom obliku koji nisu vezani za Plan nabave u skladu sa Zakonom o javnoj nabavi</w:t>
      </w:r>
    </w:p>
    <w:p w:rsidR="00955ED5" w:rsidRPr="00FF1029" w:rsidRDefault="00955ED5" w:rsidP="00955ED5">
      <w:pPr>
        <w:pStyle w:val="Odlomakpopisa"/>
        <w:numPr>
          <w:ilvl w:val="0"/>
          <w:numId w:val="1"/>
        </w:numPr>
        <w:spacing w:line="360" w:lineRule="auto"/>
        <w:jc w:val="both"/>
      </w:pPr>
      <w:r w:rsidRPr="00FF1029">
        <w:t xml:space="preserve">obračuna i naloga za isplatu </w:t>
      </w:r>
      <w:r w:rsidR="00FF1029" w:rsidRPr="00FF1029">
        <w:t>ovjerenih od strane ravnatelja, a vezanih za redovito poslovanje škole ispostavljenih</w:t>
      </w:r>
    </w:p>
    <w:p w:rsidR="00955ED5" w:rsidRPr="00955ED5" w:rsidRDefault="00955ED5" w:rsidP="00955ED5">
      <w:pPr>
        <w:pStyle w:val="Odlomakpopisa"/>
        <w:numPr>
          <w:ilvl w:val="0"/>
          <w:numId w:val="1"/>
        </w:numPr>
        <w:spacing w:line="360" w:lineRule="auto"/>
        <w:jc w:val="both"/>
      </w:pPr>
      <w:r w:rsidRPr="00955ED5">
        <w:t>ugovora o djelu, ugovora o autorskom djelu,</w:t>
      </w:r>
    </w:p>
    <w:p w:rsidR="00955ED5" w:rsidRDefault="00955ED5" w:rsidP="00955ED5">
      <w:pPr>
        <w:pStyle w:val="Odlomakpopisa"/>
        <w:numPr>
          <w:ilvl w:val="0"/>
          <w:numId w:val="1"/>
        </w:numPr>
        <w:spacing w:line="360" w:lineRule="auto"/>
        <w:jc w:val="both"/>
      </w:pPr>
      <w:r w:rsidRPr="00955ED5">
        <w:t xml:space="preserve">zaključci </w:t>
      </w:r>
      <w:r>
        <w:t>ravnatelja</w:t>
      </w:r>
      <w:r w:rsidRPr="00955ED5">
        <w:t>, kao načelni dokumenti, mogu se smatrati istovremeno i isplatnim dokumentom samo kada je to u aktu izričito naznačeno.</w:t>
      </w:r>
    </w:p>
    <w:p w:rsidR="00D62451" w:rsidRPr="00955ED5" w:rsidRDefault="00D62451" w:rsidP="00D62451">
      <w:pPr>
        <w:spacing w:line="360" w:lineRule="auto"/>
        <w:ind w:left="360"/>
        <w:jc w:val="both"/>
      </w:pPr>
    </w:p>
    <w:p w:rsidR="00D62451" w:rsidRDefault="00D62451" w:rsidP="00955ED5">
      <w:pPr>
        <w:rPr>
          <w:b/>
        </w:rPr>
        <w:sectPr w:rsidR="00D62451" w:rsidSect="00955ED5">
          <w:headerReference w:type="default" r:id="rId8"/>
          <w:pgSz w:w="11906" w:h="16838"/>
          <w:pgMar w:top="1418" w:right="1418" w:bottom="1418" w:left="1418" w:header="709" w:footer="709" w:gutter="0"/>
          <w:cols w:space="708"/>
          <w:docGrid w:linePitch="360"/>
        </w:sectPr>
      </w:pPr>
    </w:p>
    <w:p w:rsidR="00D62451" w:rsidRDefault="007A39C1" w:rsidP="00955ED5">
      <w:pPr>
        <w:rPr>
          <w:b/>
        </w:rPr>
      </w:pPr>
      <w:r>
        <w:rPr>
          <w:b/>
        </w:rPr>
        <w:t>II. ZAPRIMANJE I OVJERA RAČUNA I DRUGIH DOKUMENATA</w:t>
      </w:r>
    </w:p>
    <w:p w:rsidR="00047E25" w:rsidRPr="00955ED5" w:rsidRDefault="00047E25" w:rsidP="00955ED5">
      <w:pPr>
        <w:rPr>
          <w:b/>
        </w:rPr>
      </w:pPr>
      <w:r w:rsidRPr="00047E25">
        <w:t>Postupak zaprimanja i provjere računa</w:t>
      </w:r>
      <w:r w:rsidR="007A39C1">
        <w:t xml:space="preserve"> i drugih dokumenata, te plaćanja </w:t>
      </w:r>
      <w:r w:rsidRPr="00047E25">
        <w:t xml:space="preserve">u </w:t>
      </w:r>
      <w:r w:rsidR="004A1D12">
        <w:t>Školi</w:t>
      </w:r>
      <w:r w:rsidRPr="00047E25">
        <w:t xml:space="preserve"> provodi se po sljedećoj proceduri:</w:t>
      </w:r>
    </w:p>
    <w:tbl>
      <w:tblPr>
        <w:tblW w:w="14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843"/>
        <w:gridCol w:w="1984"/>
        <w:gridCol w:w="2108"/>
      </w:tblGrid>
      <w:tr w:rsidR="00047E25" w:rsidRPr="00047E25" w:rsidTr="00D62451">
        <w:trPr>
          <w:trHeight w:val="368"/>
        </w:trPr>
        <w:tc>
          <w:tcPr>
            <w:tcW w:w="2410" w:type="dxa"/>
            <w:vMerge w:val="restart"/>
            <w:vAlign w:val="center"/>
          </w:tcPr>
          <w:p w:rsidR="00047E25" w:rsidRPr="00047E25" w:rsidRDefault="00047E25" w:rsidP="00047E25">
            <w:pPr>
              <w:jc w:val="center"/>
            </w:pPr>
            <w:r w:rsidRPr="00047E25">
              <w:t>DIJAGRAM TIJEKA</w:t>
            </w:r>
          </w:p>
        </w:tc>
        <w:tc>
          <w:tcPr>
            <w:tcW w:w="5954" w:type="dxa"/>
            <w:vMerge w:val="restart"/>
            <w:vAlign w:val="center"/>
          </w:tcPr>
          <w:p w:rsidR="00047E25" w:rsidRPr="00047E25" w:rsidRDefault="00047E25" w:rsidP="00047E25">
            <w:pPr>
              <w:jc w:val="center"/>
            </w:pPr>
            <w:r w:rsidRPr="00047E25">
              <w:t>OPIS AKTIVNOSTI</w:t>
            </w:r>
          </w:p>
        </w:tc>
        <w:tc>
          <w:tcPr>
            <w:tcW w:w="3827" w:type="dxa"/>
            <w:gridSpan w:val="2"/>
            <w:vAlign w:val="center"/>
          </w:tcPr>
          <w:p w:rsidR="00047E25" w:rsidRPr="00047E25" w:rsidRDefault="00047E25" w:rsidP="00047E25">
            <w:pPr>
              <w:jc w:val="center"/>
            </w:pPr>
            <w:r w:rsidRPr="00047E25">
              <w:t>IZVRŠENJE</w:t>
            </w:r>
          </w:p>
        </w:tc>
        <w:tc>
          <w:tcPr>
            <w:tcW w:w="2108" w:type="dxa"/>
            <w:vMerge w:val="restart"/>
            <w:vAlign w:val="center"/>
          </w:tcPr>
          <w:p w:rsidR="00047E25" w:rsidRPr="00047E25" w:rsidRDefault="00047E25" w:rsidP="00047E25">
            <w:pPr>
              <w:jc w:val="center"/>
            </w:pPr>
            <w:r w:rsidRPr="00047E25">
              <w:t>POPRATNI DOKUMENTI</w:t>
            </w:r>
          </w:p>
        </w:tc>
      </w:tr>
      <w:tr w:rsidR="00047E25" w:rsidRPr="00047E25" w:rsidTr="00D62451">
        <w:trPr>
          <w:trHeight w:val="109"/>
        </w:trPr>
        <w:tc>
          <w:tcPr>
            <w:tcW w:w="2410" w:type="dxa"/>
            <w:vMerge/>
          </w:tcPr>
          <w:p w:rsidR="00047E25" w:rsidRPr="00047E25" w:rsidRDefault="00047E25" w:rsidP="00047E25"/>
        </w:tc>
        <w:tc>
          <w:tcPr>
            <w:tcW w:w="5954" w:type="dxa"/>
            <w:vMerge/>
          </w:tcPr>
          <w:p w:rsidR="00047E25" w:rsidRPr="00047E25" w:rsidRDefault="00047E25" w:rsidP="00047E25"/>
        </w:tc>
        <w:tc>
          <w:tcPr>
            <w:tcW w:w="1843" w:type="dxa"/>
            <w:vAlign w:val="center"/>
          </w:tcPr>
          <w:p w:rsidR="00047E25" w:rsidRPr="00047E25" w:rsidRDefault="00047E25" w:rsidP="00047E25">
            <w:pPr>
              <w:jc w:val="center"/>
            </w:pPr>
            <w:r w:rsidRPr="00047E25">
              <w:t>ODGOVORNOST</w:t>
            </w:r>
          </w:p>
        </w:tc>
        <w:tc>
          <w:tcPr>
            <w:tcW w:w="1984" w:type="dxa"/>
            <w:vAlign w:val="center"/>
          </w:tcPr>
          <w:p w:rsidR="00047E25" w:rsidRPr="00047E25" w:rsidRDefault="00047E25" w:rsidP="00047E25">
            <w:pPr>
              <w:jc w:val="center"/>
            </w:pPr>
            <w:r w:rsidRPr="00047E25">
              <w:t>ROK</w:t>
            </w:r>
          </w:p>
        </w:tc>
        <w:tc>
          <w:tcPr>
            <w:tcW w:w="2108" w:type="dxa"/>
            <w:vMerge/>
          </w:tcPr>
          <w:p w:rsidR="00047E25" w:rsidRPr="00047E25" w:rsidRDefault="00047E25" w:rsidP="00047E25"/>
        </w:tc>
      </w:tr>
      <w:tr w:rsidR="00047E25" w:rsidRPr="00047E25" w:rsidTr="00D62451">
        <w:trPr>
          <w:trHeight w:val="335"/>
        </w:trPr>
        <w:tc>
          <w:tcPr>
            <w:tcW w:w="2410" w:type="dxa"/>
          </w:tcPr>
          <w:p w:rsidR="00047E25" w:rsidRPr="00047E25" w:rsidRDefault="00047E25" w:rsidP="00047E25">
            <w:r w:rsidRPr="00047E25">
              <w:t>Zaprimanje</w:t>
            </w:r>
            <w:r w:rsidR="008931FF">
              <w:t xml:space="preserve"> i kontrola e - računa</w:t>
            </w:r>
            <w:r w:rsidRPr="00047E25">
              <w:t xml:space="preserve"> </w:t>
            </w:r>
          </w:p>
          <w:p w:rsidR="00047E25" w:rsidRPr="00047E25" w:rsidRDefault="00047E25" w:rsidP="00047E25"/>
        </w:tc>
        <w:tc>
          <w:tcPr>
            <w:tcW w:w="5954" w:type="dxa"/>
          </w:tcPr>
          <w:p w:rsidR="00047E25" w:rsidRPr="007A39C1" w:rsidRDefault="007A39C1" w:rsidP="007A39C1">
            <w:pPr>
              <w:spacing w:after="0"/>
              <w:jc w:val="both"/>
              <w:rPr>
                <w:rFonts w:eastAsia="Times New Roman" w:cs="Arial"/>
                <w:color w:val="FF0000"/>
              </w:rPr>
            </w:pPr>
            <w:r w:rsidRPr="002524E9">
              <w:rPr>
                <w:rFonts w:eastAsia="Times New Roman" w:cs="Arial"/>
              </w:rPr>
              <w:t xml:space="preserve">Ulazni e-Računi primljeni putem FINA-inog servisa e-Račun za državu iz članka 2. ove Procedure se ispisuju na papir posredstvom računovodstva Škole, te se  dostavljaju ravnatelju koji na osnovu vrste rashoda određuje osobu nadležnu za ovjeru dokumentacije, te dokumentaciju prosljeđuje u roku od 5 radnih dana natrag u računovodstvo. Ostala knjigovodstvena dokumentacija iz članka 2. ove Procedure, posredstvom tajništva, dostavlja se ravnatelju koji na osnovu vrste rashoda određuje osobu nadležnu za ovjeru dokumentacije, te dokumentaciju prosljeđuje u roku od 5 radnih dana u računovodstvo. </w:t>
            </w:r>
          </w:p>
        </w:tc>
        <w:tc>
          <w:tcPr>
            <w:tcW w:w="1843" w:type="dxa"/>
          </w:tcPr>
          <w:p w:rsidR="00047E25" w:rsidRPr="00047E25" w:rsidRDefault="005979A0" w:rsidP="007A39C1">
            <w:pPr>
              <w:jc w:val="center"/>
            </w:pPr>
            <w:r>
              <w:t>R</w:t>
            </w:r>
            <w:r w:rsidR="00F466AC">
              <w:t>ačunovođa</w:t>
            </w:r>
          </w:p>
        </w:tc>
        <w:tc>
          <w:tcPr>
            <w:tcW w:w="1984" w:type="dxa"/>
          </w:tcPr>
          <w:p w:rsidR="00047E25" w:rsidRPr="00047E25" w:rsidRDefault="002524E9" w:rsidP="007A39C1">
            <w:pPr>
              <w:jc w:val="center"/>
            </w:pPr>
            <w:r>
              <w:t>7</w:t>
            </w:r>
            <w:r w:rsidR="008931FF">
              <w:t xml:space="preserve"> radnih dana</w:t>
            </w:r>
          </w:p>
        </w:tc>
        <w:tc>
          <w:tcPr>
            <w:tcW w:w="2108" w:type="dxa"/>
          </w:tcPr>
          <w:p w:rsidR="00047E25" w:rsidRPr="00047E25" w:rsidRDefault="00047E25" w:rsidP="00047E25"/>
        </w:tc>
      </w:tr>
      <w:tr w:rsidR="008931FF" w:rsidRPr="00047E25" w:rsidTr="00D62451">
        <w:trPr>
          <w:trHeight w:val="335"/>
        </w:trPr>
        <w:tc>
          <w:tcPr>
            <w:tcW w:w="2410" w:type="dxa"/>
          </w:tcPr>
          <w:p w:rsidR="008931FF" w:rsidRPr="007A39C1" w:rsidRDefault="008931FF" w:rsidP="007A39C1">
            <w:pPr>
              <w:jc w:val="both"/>
            </w:pPr>
            <w:r w:rsidRPr="007A39C1">
              <w:t>Zaprimanje i kontrola računa koji ne podliježu obvezi izdavanja e - računa</w:t>
            </w:r>
          </w:p>
        </w:tc>
        <w:tc>
          <w:tcPr>
            <w:tcW w:w="5954" w:type="dxa"/>
          </w:tcPr>
          <w:p w:rsidR="007A39C1" w:rsidRPr="002524E9" w:rsidRDefault="007A39C1" w:rsidP="007A39C1">
            <w:pPr>
              <w:spacing w:after="0" w:line="240" w:lineRule="auto"/>
              <w:jc w:val="both"/>
              <w:rPr>
                <w:rFonts w:eastAsia="Times New Roman" w:cs="Arial"/>
              </w:rPr>
            </w:pPr>
            <w:r w:rsidRPr="002524E9">
              <w:rPr>
                <w:rFonts w:eastAsia="Times New Roman" w:cs="Arial"/>
              </w:rPr>
              <w:t xml:space="preserve">Računi zaprimljeni u papirnatom obliku moraju imati pečat o zaprimanju sa datumom zaprimanja. </w:t>
            </w:r>
          </w:p>
          <w:p w:rsidR="007A39C1" w:rsidRPr="002524E9" w:rsidRDefault="007A39C1" w:rsidP="007A39C1">
            <w:pPr>
              <w:spacing w:after="0" w:line="240" w:lineRule="auto"/>
              <w:jc w:val="both"/>
              <w:rPr>
                <w:rFonts w:eastAsia="Times New Roman" w:cs="Arial"/>
                <w:noProof/>
                <w:lang w:eastAsia="hr-HR"/>
              </w:rPr>
            </w:pPr>
            <w:r w:rsidRPr="002524E9">
              <w:rPr>
                <w:rFonts w:eastAsia="Times New Roman" w:cs="Arial"/>
              </w:rPr>
              <w:t>Ugovor o djelu i Ugovor o autorskom honoraru ovjerava ravnatelj prije dostave u računovodstvo radi obračuna i isplate.</w:t>
            </w:r>
            <w:r w:rsidRPr="002524E9">
              <w:rPr>
                <w:rFonts w:eastAsia="Times New Roman" w:cs="Arial"/>
                <w:noProof/>
                <w:lang w:eastAsia="hr-HR"/>
              </w:rPr>
              <w:t xml:space="preserve"> </w:t>
            </w:r>
          </w:p>
          <w:p w:rsidR="007A39C1" w:rsidRPr="002524E9" w:rsidRDefault="007A39C1" w:rsidP="007A39C1">
            <w:pPr>
              <w:spacing w:after="0" w:line="240" w:lineRule="auto"/>
              <w:jc w:val="both"/>
              <w:rPr>
                <w:rFonts w:eastAsia="Times New Roman" w:cs="Arial"/>
              </w:rPr>
            </w:pPr>
            <w:r w:rsidRPr="002524E9">
              <w:rPr>
                <w:rFonts w:eastAsia="Times New Roman" w:cs="Arial"/>
              </w:rPr>
              <w:t>Dokumentacija iz članka 2. Procedure, (osim Ugovora o djelu i Ugovora o autorskom honoraru) se odmah zaprima u knjigu ulaznih računa.</w:t>
            </w:r>
          </w:p>
          <w:p w:rsidR="007A39C1" w:rsidRPr="002524E9" w:rsidRDefault="007A39C1" w:rsidP="007A39C1">
            <w:pPr>
              <w:spacing w:after="0" w:line="240" w:lineRule="auto"/>
              <w:jc w:val="both"/>
              <w:rPr>
                <w:rFonts w:eastAsia="Times New Roman" w:cs="Times New Roman"/>
              </w:rPr>
            </w:pPr>
            <w:r w:rsidRPr="002524E9">
              <w:rPr>
                <w:rFonts w:eastAsia="Times New Roman" w:cs="Arial"/>
              </w:rPr>
              <w:t>Na računu mora biti evidentirani redni broj ulaznog računa iz knjige ulaznih računa, a u knjizi ulaznih računa se upisuje datum knjiženja, datum računa, dospijeće plaćanja.</w:t>
            </w:r>
          </w:p>
          <w:p w:rsidR="007A39C1" w:rsidRPr="002524E9" w:rsidRDefault="007A39C1" w:rsidP="007A39C1">
            <w:pPr>
              <w:spacing w:after="0" w:line="240" w:lineRule="auto"/>
              <w:jc w:val="both"/>
              <w:rPr>
                <w:rFonts w:eastAsia="Times New Roman" w:cs="Times New Roman"/>
              </w:rPr>
            </w:pPr>
            <w:r w:rsidRPr="002524E9">
              <w:rPr>
                <w:rFonts w:eastAsia="Times New Roman" w:cs="Arial"/>
              </w:rPr>
              <w:t>Svi dokumenti evidentiraju se u poslovne knjige prema datumu nastanka poslovnog događaja, odnosno rashodi se evidentiraju u glavnoj knjizi u proračunskoj godini u kojoj su nastali.</w:t>
            </w:r>
            <w:r w:rsidRPr="002524E9">
              <w:rPr>
                <w:rFonts w:eastAsia="Times New Roman" w:cs="Times New Roman"/>
              </w:rPr>
              <w:t xml:space="preserve">  </w:t>
            </w:r>
          </w:p>
          <w:p w:rsidR="008931FF" w:rsidRPr="002524E9" w:rsidRDefault="008931FF" w:rsidP="007A39C1">
            <w:pPr>
              <w:spacing w:after="0"/>
              <w:jc w:val="both"/>
            </w:pPr>
          </w:p>
        </w:tc>
        <w:tc>
          <w:tcPr>
            <w:tcW w:w="1843" w:type="dxa"/>
          </w:tcPr>
          <w:p w:rsidR="008931FF" w:rsidRPr="00047E25" w:rsidRDefault="005979A0" w:rsidP="007A39C1">
            <w:pPr>
              <w:jc w:val="center"/>
            </w:pPr>
            <w:r>
              <w:t xml:space="preserve">Tajnik, </w:t>
            </w:r>
            <w:r w:rsidR="008931FF">
              <w:t>računovođa</w:t>
            </w:r>
          </w:p>
        </w:tc>
        <w:tc>
          <w:tcPr>
            <w:tcW w:w="1984" w:type="dxa"/>
          </w:tcPr>
          <w:p w:rsidR="008931FF" w:rsidRPr="00047E25" w:rsidRDefault="002524E9" w:rsidP="007A39C1">
            <w:pPr>
              <w:jc w:val="center"/>
            </w:pPr>
            <w:r>
              <w:t>7</w:t>
            </w:r>
            <w:r w:rsidR="008931FF">
              <w:t xml:space="preserve"> radnih dana</w:t>
            </w:r>
          </w:p>
        </w:tc>
        <w:tc>
          <w:tcPr>
            <w:tcW w:w="2108" w:type="dxa"/>
          </w:tcPr>
          <w:p w:rsidR="008931FF" w:rsidRPr="00047E25" w:rsidRDefault="008931FF" w:rsidP="00047E25"/>
        </w:tc>
      </w:tr>
      <w:tr w:rsidR="008931FF" w:rsidRPr="00047E25" w:rsidTr="00D62451">
        <w:trPr>
          <w:trHeight w:val="533"/>
        </w:trPr>
        <w:tc>
          <w:tcPr>
            <w:tcW w:w="2410" w:type="dxa"/>
          </w:tcPr>
          <w:p w:rsidR="008931FF" w:rsidRPr="00047E25" w:rsidRDefault="008931FF" w:rsidP="00047E25">
            <w:r w:rsidRPr="00047E25">
              <w:t xml:space="preserve">Suštinska kontrola računa za uredski materijal i sredstva za čišćenje </w:t>
            </w:r>
          </w:p>
        </w:tc>
        <w:tc>
          <w:tcPr>
            <w:tcW w:w="5954" w:type="dxa"/>
          </w:tcPr>
          <w:p w:rsidR="008931FF" w:rsidRPr="00047E25" w:rsidRDefault="008931FF" w:rsidP="00047E25">
            <w:r w:rsidRPr="00047E25">
              <w:t>Suštinska kontrola obavlja se prilikom isporuke te se na otpremnici odnosno radnom nalogu ili nekom drugom dokumentu</w:t>
            </w:r>
            <w:r>
              <w:t xml:space="preserve"> parafom potvrđuje ispravnost podataka</w:t>
            </w:r>
          </w:p>
        </w:tc>
        <w:tc>
          <w:tcPr>
            <w:tcW w:w="1843" w:type="dxa"/>
          </w:tcPr>
          <w:p w:rsidR="008931FF" w:rsidRPr="00047E25" w:rsidRDefault="008931FF" w:rsidP="005979A0">
            <w:pPr>
              <w:jc w:val="center"/>
            </w:pPr>
            <w:r>
              <w:t>Tajnik, spremačica, kuhar</w:t>
            </w:r>
          </w:p>
        </w:tc>
        <w:tc>
          <w:tcPr>
            <w:tcW w:w="1984" w:type="dxa"/>
          </w:tcPr>
          <w:p w:rsidR="008931FF" w:rsidRPr="00047E25" w:rsidRDefault="008931FF" w:rsidP="007A39C1">
            <w:pPr>
              <w:jc w:val="center"/>
            </w:pPr>
            <w:r w:rsidRPr="00047E25">
              <w:t xml:space="preserve">najviše </w:t>
            </w:r>
            <w:r w:rsidR="002524E9">
              <w:t>7</w:t>
            </w:r>
            <w:r w:rsidRPr="00047E25">
              <w:t xml:space="preserve"> </w:t>
            </w:r>
            <w:r>
              <w:t xml:space="preserve">radnih </w:t>
            </w:r>
            <w:r w:rsidRPr="00047E25">
              <w:t>dana po zaprimanju računa</w:t>
            </w:r>
          </w:p>
        </w:tc>
        <w:tc>
          <w:tcPr>
            <w:tcW w:w="2108" w:type="dxa"/>
          </w:tcPr>
          <w:p w:rsidR="008931FF" w:rsidRPr="00047E25" w:rsidRDefault="008931FF" w:rsidP="00047E25">
            <w:r w:rsidRPr="00047E25">
              <w:t xml:space="preserve">otpremnica </w:t>
            </w:r>
          </w:p>
        </w:tc>
      </w:tr>
      <w:tr w:rsidR="008931FF" w:rsidRPr="00047E25"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Suštinska kontrola računa za popravke te usluge i nabave materijala za održavanje </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Suštinska kontrola obavlja se prilikom isporuke te se na otpremnici odnosno radnom nalogu ili nekom drugom dokumentu</w:t>
            </w:r>
            <w:r>
              <w:t xml:space="preserve"> parafom potvrđuje ispravnost podataka</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5979A0">
            <w:pPr>
              <w:jc w:val="center"/>
            </w:pPr>
            <w:r w:rsidRPr="00047E25">
              <w:t>Domar</w:t>
            </w:r>
            <w:r>
              <w:t>, spremačica</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8931FF" w:rsidP="002524E9">
            <w:pPr>
              <w:jc w:val="center"/>
            </w:pPr>
            <w:r w:rsidRPr="00047E25">
              <w:t xml:space="preserve">najviše </w:t>
            </w:r>
            <w:r w:rsidR="002524E9">
              <w:t>7</w:t>
            </w:r>
            <w:r w:rsidRPr="00047E25">
              <w:t xml:space="preserve"> </w:t>
            </w:r>
            <w:r>
              <w:t xml:space="preserve">radnih </w:t>
            </w:r>
            <w:r w:rsidRPr="00047E25">
              <w:t>dana po zaprimanju računa</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otpremnica, radni nalog, izvještaj o obavljenoj usluzi i slično </w:t>
            </w:r>
          </w:p>
        </w:tc>
      </w:tr>
      <w:tr w:rsidR="008931FF" w:rsidRPr="00047E25"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Suštinska kontrola računa za nabavu</w:t>
            </w:r>
            <w:r>
              <w:t xml:space="preserve"> namirnica i ostalog materijala za potrebe školske kuhinje</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Suštinska kontrola obavlja se prilikom isporuke te se na otpremnici odnosno radnom nalogu ili nekom drugom dokumentu</w:t>
            </w:r>
            <w:r>
              <w:t xml:space="preserve"> parafom potvrđuje ispravnost podataka</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5979A0">
            <w:pPr>
              <w:jc w:val="center"/>
            </w:pPr>
            <w:r>
              <w:t>Kuhar</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8931FF" w:rsidP="002524E9">
            <w:pPr>
              <w:jc w:val="center"/>
            </w:pPr>
            <w:r w:rsidRPr="008931FF">
              <w:t xml:space="preserve">najviše </w:t>
            </w:r>
            <w:r w:rsidR="002524E9">
              <w:t>7</w:t>
            </w:r>
            <w:r w:rsidRPr="008931FF">
              <w:t xml:space="preserve"> radnih dana po zaprimanju računa</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8931FF">
              <w:t>otpremnica, radni nalog, izvještaj o obavljenoj usluzi i slično</w:t>
            </w:r>
          </w:p>
        </w:tc>
      </w:tr>
      <w:tr w:rsidR="008931FF" w:rsidRPr="00047E25"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3505C3">
            <w:r w:rsidRPr="00047E25">
              <w:t xml:space="preserve">Suštinska kontrola računa za nabavu opreme i materijala za rad </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3505C3">
            <w:r w:rsidRPr="00047E25">
              <w:t>Suštinska kontrola obavlja se prilikom isporuke te se na otpremnici odnosno radnom nalogu ili nekom drugom dokumentu</w:t>
            </w:r>
            <w:r>
              <w:t xml:space="preserve"> parafom potvrđuje ispravnost podataka</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3505C3">
            <w:r>
              <w:t>zaposlenik</w:t>
            </w:r>
            <w:r w:rsidRPr="00047E25">
              <w:t xml:space="preserve"> koji je inicirao narudžbu </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8931FF" w:rsidP="002524E9">
            <w:pPr>
              <w:jc w:val="center"/>
            </w:pPr>
            <w:r w:rsidRPr="00047E25">
              <w:t xml:space="preserve">najviše </w:t>
            </w:r>
            <w:r w:rsidR="002524E9">
              <w:t>7</w:t>
            </w:r>
            <w:r w:rsidRPr="00047E25">
              <w:t xml:space="preserve"> </w:t>
            </w:r>
            <w:r>
              <w:t xml:space="preserve">radnih </w:t>
            </w:r>
            <w:r w:rsidRPr="00047E25">
              <w:t>dana po zaprimanju računa</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3505C3">
            <w:r w:rsidRPr="00047E25">
              <w:t xml:space="preserve">otpremnica </w:t>
            </w:r>
          </w:p>
        </w:tc>
      </w:tr>
      <w:tr w:rsidR="008931FF"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Obrada </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Upis u knjigu ulaznih računa, </w:t>
            </w:r>
          </w:p>
          <w:p w:rsidR="008931FF" w:rsidRPr="00047E25" w:rsidRDefault="008931FF" w:rsidP="00047E25">
            <w:r w:rsidRPr="00047E25">
              <w:t xml:space="preserve">dodjela brojeva </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računovođa </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2524E9" w:rsidP="007A39C1">
            <w:pPr>
              <w:jc w:val="center"/>
            </w:pPr>
            <w:r>
              <w:t>7</w:t>
            </w:r>
            <w:r w:rsidR="008931FF">
              <w:t xml:space="preserve"> radnih</w:t>
            </w:r>
            <w:r w:rsidR="008931FF" w:rsidRPr="00047E25">
              <w:t xml:space="preserve"> dan</w:t>
            </w:r>
            <w:r w:rsidR="008931FF">
              <w:t>a</w:t>
            </w:r>
            <w:r w:rsidR="008931FF" w:rsidRPr="00047E25">
              <w:t xml:space="preserve"> po odobrenju plaćanja i evidentiranja</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knjiga ulaznih računa </w:t>
            </w:r>
          </w:p>
        </w:tc>
      </w:tr>
      <w:tr w:rsidR="008931FF"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Kontiranje i knjiženje računa </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Razvrstavanje računa prema vrstama rashoda, programima (aktivnostima/projektima) i izvorima financiranja te unos u računovodstveni sustav </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računovođa </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8931FF" w:rsidP="007A39C1">
            <w:pPr>
              <w:jc w:val="center"/>
            </w:pPr>
            <w:r w:rsidRPr="00047E25">
              <w:t>unutar mjeseca</w:t>
            </w:r>
          </w:p>
          <w:p w:rsidR="008931FF" w:rsidRPr="00047E25" w:rsidRDefault="008931FF" w:rsidP="007A39C1">
            <w:pPr>
              <w:jc w:val="center"/>
            </w:pPr>
            <w:r w:rsidRPr="00047E25">
              <w:t>na koji se odnosi račun</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047E25">
            <w:proofErr w:type="spellStart"/>
            <w:r w:rsidRPr="00047E25">
              <w:t>kontni</w:t>
            </w:r>
            <w:proofErr w:type="spellEnd"/>
            <w:r w:rsidRPr="00047E25">
              <w:t xml:space="preserve"> plan/klasifikacijski sustav </w:t>
            </w:r>
          </w:p>
        </w:tc>
      </w:tr>
      <w:tr w:rsidR="008931FF"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Plaćanje računa prema dospijeću </w:t>
            </w:r>
          </w:p>
        </w:tc>
        <w:tc>
          <w:tcPr>
            <w:tcW w:w="5954" w:type="dxa"/>
            <w:tcBorders>
              <w:top w:val="single" w:sz="4" w:space="0" w:color="auto"/>
              <w:left w:val="single" w:sz="4" w:space="0" w:color="auto"/>
              <w:bottom w:val="single" w:sz="4" w:space="0" w:color="auto"/>
              <w:right w:val="single" w:sz="4" w:space="0" w:color="auto"/>
            </w:tcBorders>
          </w:tcPr>
          <w:p w:rsidR="005979A0" w:rsidRDefault="008931FF" w:rsidP="005979A0">
            <w:r w:rsidRPr="00047E25">
              <w:t>Priprema naloga za plaćanje</w:t>
            </w:r>
            <w:r>
              <w:t xml:space="preserve"> odnosno formiranje zahtjeva za plaćanje prema Lokalnoj Riznici</w:t>
            </w:r>
          </w:p>
          <w:p w:rsidR="008931FF" w:rsidRPr="00047E25" w:rsidRDefault="008931FF" w:rsidP="005979A0">
            <w:r w:rsidRPr="00047E25">
              <w:t>Odobrenje naloga za plaćanje – potpis ovlaštene/ih osoba</w:t>
            </w:r>
          </w:p>
        </w:tc>
        <w:tc>
          <w:tcPr>
            <w:tcW w:w="1843" w:type="dxa"/>
            <w:tcBorders>
              <w:top w:val="single" w:sz="4" w:space="0" w:color="auto"/>
              <w:left w:val="single" w:sz="4" w:space="0" w:color="auto"/>
              <w:bottom w:val="single" w:sz="4" w:space="0" w:color="auto"/>
              <w:right w:val="single" w:sz="4" w:space="0" w:color="auto"/>
            </w:tcBorders>
          </w:tcPr>
          <w:p w:rsidR="005979A0" w:rsidRDefault="005979A0" w:rsidP="00D62451">
            <w:pPr>
              <w:spacing w:line="360" w:lineRule="auto"/>
            </w:pPr>
            <w:r>
              <w:t>Računovođa</w:t>
            </w:r>
          </w:p>
          <w:p w:rsidR="008931FF" w:rsidRPr="00047E25" w:rsidRDefault="008931FF" w:rsidP="00D62451">
            <w:pPr>
              <w:spacing w:line="360" w:lineRule="auto"/>
            </w:pPr>
            <w:r>
              <w:t xml:space="preserve">ravnatelj </w:t>
            </w:r>
          </w:p>
        </w:tc>
        <w:tc>
          <w:tcPr>
            <w:tcW w:w="1984" w:type="dxa"/>
            <w:tcBorders>
              <w:top w:val="single" w:sz="4" w:space="0" w:color="auto"/>
              <w:left w:val="single" w:sz="4" w:space="0" w:color="auto"/>
              <w:bottom w:val="single" w:sz="4" w:space="0" w:color="auto"/>
              <w:right w:val="single" w:sz="4" w:space="0" w:color="auto"/>
            </w:tcBorders>
          </w:tcPr>
          <w:p w:rsidR="008931FF" w:rsidRDefault="008931FF" w:rsidP="007A39C1">
            <w:pPr>
              <w:jc w:val="center"/>
            </w:pPr>
            <w:r w:rsidRPr="00047E25">
              <w:t>prema dospijeću</w:t>
            </w:r>
          </w:p>
          <w:p w:rsidR="008931FF" w:rsidRPr="00047E25" w:rsidRDefault="008931FF" w:rsidP="007A39C1">
            <w:pPr>
              <w:jc w:val="center"/>
            </w:pPr>
            <w:r w:rsidRPr="008931FF">
              <w:t>prema dospijeću</w:t>
            </w:r>
          </w:p>
        </w:tc>
        <w:tc>
          <w:tcPr>
            <w:tcW w:w="2108" w:type="dxa"/>
            <w:tcBorders>
              <w:top w:val="single" w:sz="4" w:space="0" w:color="auto"/>
              <w:left w:val="single" w:sz="4" w:space="0" w:color="auto"/>
              <w:bottom w:val="single" w:sz="4" w:space="0" w:color="auto"/>
              <w:right w:val="single" w:sz="4" w:space="0" w:color="auto"/>
            </w:tcBorders>
          </w:tcPr>
          <w:p w:rsidR="008931FF" w:rsidRDefault="008931FF" w:rsidP="00047E25">
            <w:r w:rsidRPr="00047E25">
              <w:t>nalozi za plaćanje</w:t>
            </w:r>
            <w:r>
              <w:t xml:space="preserve"> odnosno Zahtjev za plaćanje</w:t>
            </w:r>
            <w:r w:rsidRPr="00047E25">
              <w:t xml:space="preserve"> </w:t>
            </w:r>
          </w:p>
          <w:p w:rsidR="008931FF" w:rsidRPr="00047E25" w:rsidRDefault="008931FF" w:rsidP="00047E25">
            <w:r w:rsidRPr="008931FF">
              <w:t>nalozi za plaćanje</w:t>
            </w:r>
            <w:r>
              <w:t xml:space="preserve"> odnosno Zahtjev za plaćanje</w:t>
            </w:r>
          </w:p>
        </w:tc>
      </w:tr>
      <w:tr w:rsidR="008931FF" w:rsidTr="00D62451">
        <w:trPr>
          <w:trHeight w:val="533"/>
        </w:trPr>
        <w:tc>
          <w:tcPr>
            <w:tcW w:w="2410"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Plaćanje računa prema dospijeću </w:t>
            </w:r>
          </w:p>
        </w:tc>
        <w:tc>
          <w:tcPr>
            <w:tcW w:w="5954"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Odobrenje naloga za plaćanje – potpis ovlaštene/ih osoba </w:t>
            </w:r>
          </w:p>
        </w:tc>
        <w:tc>
          <w:tcPr>
            <w:tcW w:w="1843" w:type="dxa"/>
            <w:tcBorders>
              <w:top w:val="single" w:sz="4" w:space="0" w:color="auto"/>
              <w:left w:val="single" w:sz="4" w:space="0" w:color="auto"/>
              <w:bottom w:val="single" w:sz="4" w:space="0" w:color="auto"/>
              <w:right w:val="single" w:sz="4" w:space="0" w:color="auto"/>
            </w:tcBorders>
          </w:tcPr>
          <w:p w:rsidR="008931FF" w:rsidRPr="00047E25" w:rsidRDefault="008931FF" w:rsidP="008931FF">
            <w:r>
              <w:t>ravnatelj</w:t>
            </w:r>
          </w:p>
        </w:tc>
        <w:tc>
          <w:tcPr>
            <w:tcW w:w="1984" w:type="dxa"/>
            <w:tcBorders>
              <w:top w:val="single" w:sz="4" w:space="0" w:color="auto"/>
              <w:left w:val="single" w:sz="4" w:space="0" w:color="auto"/>
              <w:bottom w:val="single" w:sz="4" w:space="0" w:color="auto"/>
              <w:right w:val="single" w:sz="4" w:space="0" w:color="auto"/>
            </w:tcBorders>
          </w:tcPr>
          <w:p w:rsidR="008931FF" w:rsidRPr="00047E25" w:rsidRDefault="008931FF" w:rsidP="007A39C1">
            <w:pPr>
              <w:jc w:val="center"/>
            </w:pPr>
            <w:r w:rsidRPr="00047E25">
              <w:t>prema dospijeću</w:t>
            </w:r>
          </w:p>
        </w:tc>
        <w:tc>
          <w:tcPr>
            <w:tcW w:w="2108" w:type="dxa"/>
            <w:tcBorders>
              <w:top w:val="single" w:sz="4" w:space="0" w:color="auto"/>
              <w:left w:val="single" w:sz="4" w:space="0" w:color="auto"/>
              <w:bottom w:val="single" w:sz="4" w:space="0" w:color="auto"/>
              <w:right w:val="single" w:sz="4" w:space="0" w:color="auto"/>
            </w:tcBorders>
          </w:tcPr>
          <w:p w:rsidR="008931FF" w:rsidRPr="00047E25" w:rsidRDefault="008931FF" w:rsidP="00047E25">
            <w:r w:rsidRPr="00047E25">
              <w:t xml:space="preserve">nalozi za plaćanje </w:t>
            </w:r>
          </w:p>
        </w:tc>
      </w:tr>
    </w:tbl>
    <w:p w:rsidR="00047E25" w:rsidRDefault="00047E25"/>
    <w:p w:rsidR="00047E25" w:rsidRPr="00FF4C83" w:rsidRDefault="00047E25" w:rsidP="00047E25">
      <w:pPr>
        <w:rPr>
          <w:i/>
          <w:iCs/>
          <w:color w:val="FF0000"/>
        </w:rPr>
      </w:pPr>
      <w:r w:rsidRPr="00047E25">
        <w:t>Ova procedura objavljena je na oglasnoj plo</w:t>
      </w:r>
      <w:r w:rsidR="002524E9">
        <w:t>či i web stranici ustanove dana</w:t>
      </w:r>
      <w:r w:rsidRPr="00FF4C83">
        <w:rPr>
          <w:i/>
          <w:iCs/>
          <w:color w:val="FF0000"/>
        </w:rPr>
        <w:t xml:space="preserve"> </w:t>
      </w:r>
      <w:r w:rsidRPr="00047E25">
        <w:t xml:space="preserve">i stupila je na snagu danom objave, a primjenjuje se od </w:t>
      </w:r>
      <w:r w:rsidR="002524E9">
        <w:t>30.10.2019.</w:t>
      </w:r>
      <w:r w:rsidRPr="00FF4C83">
        <w:rPr>
          <w:i/>
          <w:iCs/>
          <w:color w:val="FF0000"/>
        </w:rPr>
        <w:t xml:space="preserve"> </w:t>
      </w:r>
    </w:p>
    <w:p w:rsidR="00E83CBB" w:rsidRPr="00FF4C83" w:rsidRDefault="00E83CBB" w:rsidP="00047E25">
      <w:r w:rsidRPr="00FF4C83">
        <w:rPr>
          <w:iCs/>
        </w:rPr>
        <w:t xml:space="preserve">Donošenjem  ove Procedure prestaje važiti Procedura od 17.12.2015. godine Klasa:  406-01/15-01/6; </w:t>
      </w:r>
      <w:proofErr w:type="spellStart"/>
      <w:r w:rsidRPr="00FF4C83">
        <w:rPr>
          <w:iCs/>
        </w:rPr>
        <w:t>Ur.broj</w:t>
      </w:r>
      <w:proofErr w:type="spellEnd"/>
      <w:r w:rsidRPr="00FF4C83">
        <w:rPr>
          <w:iCs/>
        </w:rPr>
        <w:t>: 2144-16/15-01-1</w:t>
      </w:r>
    </w:p>
    <w:p w:rsidR="00047E25" w:rsidRPr="00047E25" w:rsidRDefault="00E83CBB" w:rsidP="00047E25">
      <w:pPr>
        <w:jc w:val="right"/>
      </w:pPr>
      <w:r>
        <w:rPr>
          <w:b/>
          <w:bCs/>
        </w:rPr>
        <w:t>Ravnatelj:</w:t>
      </w:r>
      <w:r w:rsidR="00047E25" w:rsidRPr="00047E25">
        <w:rPr>
          <w:b/>
          <w:bCs/>
        </w:rPr>
        <w:t xml:space="preserve"> </w:t>
      </w:r>
    </w:p>
    <w:p w:rsidR="00047E25" w:rsidRPr="00047E25" w:rsidRDefault="00E83CBB" w:rsidP="00047E25">
      <w:pPr>
        <w:jc w:val="right"/>
      </w:pPr>
      <w:r>
        <w:rPr>
          <w:b/>
          <w:bCs/>
        </w:rPr>
        <w:t xml:space="preserve">Edi </w:t>
      </w:r>
      <w:proofErr w:type="spellStart"/>
      <w:r>
        <w:rPr>
          <w:b/>
          <w:bCs/>
        </w:rPr>
        <w:t>Juričić</w:t>
      </w:r>
      <w:proofErr w:type="spellEnd"/>
      <w:r w:rsidR="00047E25" w:rsidRPr="00047E25">
        <w:rPr>
          <w:b/>
          <w:bCs/>
        </w:rPr>
        <w:t xml:space="preserve"> </w:t>
      </w:r>
    </w:p>
    <w:p w:rsidR="00724981" w:rsidRDefault="00724981" w:rsidP="00047E25">
      <w:pPr>
        <w:jc w:val="right"/>
        <w:rPr>
          <w:b/>
          <w:bCs/>
        </w:rPr>
      </w:pPr>
    </w:p>
    <w:p w:rsidR="00047E25" w:rsidRDefault="00047E25" w:rsidP="00047E25">
      <w:pPr>
        <w:jc w:val="right"/>
        <w:rPr>
          <w:b/>
          <w:bCs/>
        </w:rPr>
      </w:pPr>
      <w:r w:rsidRPr="00047E25">
        <w:rPr>
          <w:b/>
          <w:bCs/>
        </w:rPr>
        <w:t>------</w:t>
      </w:r>
      <w:r w:rsidR="00724981">
        <w:rPr>
          <w:b/>
          <w:bCs/>
        </w:rPr>
        <w:t>--------------------------</w:t>
      </w:r>
    </w:p>
    <w:p w:rsidR="00724981" w:rsidRDefault="00724981" w:rsidP="00047E25">
      <w:pPr>
        <w:jc w:val="right"/>
      </w:pPr>
    </w:p>
    <w:sectPr w:rsidR="00724981" w:rsidSect="00D624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A5" w:rsidRDefault="008D21A5" w:rsidP="00EF66C1">
      <w:pPr>
        <w:spacing w:after="0" w:line="240" w:lineRule="auto"/>
      </w:pPr>
      <w:r>
        <w:separator/>
      </w:r>
    </w:p>
  </w:endnote>
  <w:endnote w:type="continuationSeparator" w:id="0">
    <w:p w:rsidR="008D21A5" w:rsidRDefault="008D21A5" w:rsidP="00EF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A5" w:rsidRDefault="008D21A5" w:rsidP="00EF66C1">
      <w:pPr>
        <w:spacing w:after="0" w:line="240" w:lineRule="auto"/>
      </w:pPr>
      <w:r>
        <w:separator/>
      </w:r>
    </w:p>
  </w:footnote>
  <w:footnote w:type="continuationSeparator" w:id="0">
    <w:p w:rsidR="008D21A5" w:rsidRDefault="008D21A5" w:rsidP="00EF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1" w:rsidRPr="00E3110E" w:rsidRDefault="00EF66C1" w:rsidP="00EF66C1">
    <w:pPr>
      <w:tabs>
        <w:tab w:val="left" w:pos="2700"/>
        <w:tab w:val="center" w:pos="4703"/>
        <w:tab w:val="right" w:pos="9406"/>
      </w:tabs>
      <w:spacing w:after="0" w:line="240" w:lineRule="auto"/>
      <w:jc w:val="center"/>
      <w:rPr>
        <w:rFonts w:ascii="Arial" w:eastAsia="Times New Roman" w:hAnsi="Arial" w:cs="Arial"/>
        <w:b/>
        <w:i/>
        <w:noProof/>
      </w:rPr>
    </w:pPr>
    <w:r w:rsidRPr="00E3110E">
      <w:rPr>
        <w:rFonts w:ascii="Arial" w:eastAsia="Times New Roman" w:hAnsi="Arial" w:cs="Arial"/>
        <w:noProof/>
        <w:color w:val="0000FF"/>
        <w:lang w:eastAsia="hr-HR"/>
      </w:rPr>
      <w:drawing>
        <wp:inline distT="0" distB="0" distL="0" distR="0" wp14:anchorId="5EC2C1CD" wp14:editId="7091C6E9">
          <wp:extent cx="349340" cy="360609"/>
          <wp:effectExtent l="0" t="0" r="0" b="1905"/>
          <wp:docPr id="3" name="irc_ilrp_mut" descr="https://encrypted-tbn2.gstatic.com/images?q=tbn:ANd9GcTAmLMu5fIs5ylU-i3K6IcZRSOI7FYGPmOPg8l0yXVqCXYg07ahLF0Wu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AmLMu5fIs5ylU-i3K6IcZRSOI7FYGPmOPg8l0yXVqCXYg07ahLF0Wu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712" cy="365122"/>
                  </a:xfrm>
                  <a:prstGeom prst="rect">
                    <a:avLst/>
                  </a:prstGeom>
                  <a:noFill/>
                  <a:ln>
                    <a:noFill/>
                  </a:ln>
                </pic:spPr>
              </pic:pic>
            </a:graphicData>
          </a:graphic>
        </wp:inline>
      </w:drawing>
    </w:r>
  </w:p>
  <w:p w:rsidR="00EF66C1" w:rsidRPr="00E3110E" w:rsidRDefault="00EF66C1" w:rsidP="00EF66C1">
    <w:pPr>
      <w:tabs>
        <w:tab w:val="left" w:pos="2700"/>
        <w:tab w:val="center" w:pos="4703"/>
        <w:tab w:val="right" w:pos="9406"/>
      </w:tabs>
      <w:spacing w:after="0" w:line="240" w:lineRule="auto"/>
      <w:jc w:val="center"/>
      <w:rPr>
        <w:rFonts w:ascii="Arial" w:eastAsia="Times New Roman" w:hAnsi="Arial" w:cs="Arial"/>
        <w:i/>
        <w:noProof/>
      </w:rPr>
    </w:pPr>
  </w:p>
  <w:p w:rsidR="00EF66C1" w:rsidRPr="00AA5F6F" w:rsidRDefault="00EF66C1" w:rsidP="00EF66C1">
    <w:pPr>
      <w:tabs>
        <w:tab w:val="left" w:pos="2700"/>
        <w:tab w:val="center" w:pos="4703"/>
        <w:tab w:val="right" w:pos="9406"/>
      </w:tabs>
      <w:spacing w:after="0" w:line="240" w:lineRule="auto"/>
      <w:jc w:val="center"/>
      <w:rPr>
        <w:rFonts w:eastAsia="Times New Roman" w:cs="Arial"/>
        <w:i/>
        <w:noProof/>
      </w:rPr>
    </w:pPr>
    <w:r w:rsidRPr="00AA5F6F">
      <w:rPr>
        <w:rFonts w:eastAsia="Times New Roman" w:cs="Arial"/>
        <w:i/>
        <w:noProof/>
      </w:rPr>
      <w:t>Republika Hrvatska</w:t>
    </w:r>
  </w:p>
  <w:p w:rsidR="00EF66C1" w:rsidRPr="00AA5F6F" w:rsidRDefault="00EF66C1" w:rsidP="00EF66C1">
    <w:pPr>
      <w:tabs>
        <w:tab w:val="left" w:pos="2700"/>
        <w:tab w:val="center" w:pos="4703"/>
        <w:tab w:val="right" w:pos="9406"/>
      </w:tabs>
      <w:spacing w:after="0" w:line="240" w:lineRule="auto"/>
      <w:jc w:val="center"/>
      <w:rPr>
        <w:rFonts w:eastAsia="Times New Roman" w:cs="Arial"/>
        <w:i/>
        <w:noProof/>
      </w:rPr>
    </w:pPr>
    <w:r w:rsidRPr="00AA5F6F">
      <w:rPr>
        <w:rFonts w:eastAsia="Times New Roman" w:cs="Arial"/>
        <w:i/>
        <w:noProof/>
      </w:rPr>
      <w:t>Istarska županija</w:t>
    </w:r>
  </w:p>
  <w:p w:rsidR="00EF66C1" w:rsidRPr="00AA5F6F" w:rsidRDefault="00EF66C1" w:rsidP="00EF66C1">
    <w:pPr>
      <w:tabs>
        <w:tab w:val="left" w:pos="2700"/>
        <w:tab w:val="center" w:pos="4703"/>
        <w:tab w:val="right" w:pos="9406"/>
      </w:tabs>
      <w:spacing w:after="0" w:line="240" w:lineRule="auto"/>
      <w:jc w:val="center"/>
      <w:rPr>
        <w:rFonts w:eastAsia="Times New Roman" w:cs="Arial"/>
        <w:b/>
        <w:i/>
        <w:noProof/>
      </w:rPr>
    </w:pPr>
    <w:r w:rsidRPr="00AA5F6F">
      <w:rPr>
        <w:rFonts w:eastAsia="Times New Roman" w:cs="Arial"/>
        <w:b/>
        <w:i/>
        <w:noProof/>
      </w:rPr>
      <w:t xml:space="preserve">Osnovna škola </w:t>
    </w:r>
    <w:r w:rsidR="001335C0">
      <w:rPr>
        <w:rFonts w:eastAsia="Times New Roman" w:cs="Arial"/>
        <w:b/>
        <w:i/>
        <w:noProof/>
      </w:rPr>
      <w:t>Matije Vlačića</w:t>
    </w:r>
    <w:r w:rsidRPr="00AA5F6F">
      <w:rPr>
        <w:rFonts w:eastAsia="Times New Roman" w:cs="Arial"/>
        <w:b/>
        <w:i/>
        <w:noProof/>
      </w:rPr>
      <w:t xml:space="preserve"> Labin</w:t>
    </w:r>
  </w:p>
  <w:p w:rsidR="00EF66C1" w:rsidRPr="00AA5F6F" w:rsidRDefault="001335C0" w:rsidP="00EF66C1">
    <w:pPr>
      <w:tabs>
        <w:tab w:val="left" w:pos="2700"/>
        <w:tab w:val="center" w:pos="4703"/>
        <w:tab w:val="right" w:pos="9406"/>
      </w:tabs>
      <w:spacing w:after="0" w:line="240" w:lineRule="auto"/>
      <w:jc w:val="center"/>
      <w:rPr>
        <w:rFonts w:eastAsia="Times New Roman" w:cs="Arial"/>
        <w:i/>
        <w:noProof/>
      </w:rPr>
    </w:pPr>
    <w:r>
      <w:rPr>
        <w:rFonts w:eastAsia="Times New Roman" w:cs="Arial"/>
        <w:i/>
        <w:noProof/>
      </w:rPr>
      <w:t>Zelenice 4</w:t>
    </w:r>
    <w:r w:rsidR="00EF66C1" w:rsidRPr="00AA5F6F">
      <w:rPr>
        <w:rFonts w:eastAsia="Times New Roman" w:cs="Arial"/>
        <w:i/>
        <w:noProof/>
      </w:rPr>
      <w:t>, Labin 52220 Tel: 052/855-</w:t>
    </w:r>
    <w:r>
      <w:rPr>
        <w:rFonts w:eastAsia="Times New Roman" w:cs="Arial"/>
        <w:i/>
        <w:noProof/>
      </w:rPr>
      <w:t>488</w:t>
    </w:r>
  </w:p>
  <w:p w:rsidR="00EF66C1" w:rsidRPr="00AA5F6F" w:rsidRDefault="00EF66C1" w:rsidP="00EF66C1">
    <w:pPr>
      <w:tabs>
        <w:tab w:val="left" w:pos="2700"/>
        <w:tab w:val="center" w:pos="4703"/>
        <w:tab w:val="right" w:pos="9406"/>
      </w:tabs>
      <w:spacing w:after="0" w:line="240" w:lineRule="auto"/>
      <w:jc w:val="center"/>
      <w:rPr>
        <w:rFonts w:eastAsia="Times New Roman" w:cs="Arial"/>
        <w:i/>
        <w:noProof/>
        <w:color w:val="0000FF"/>
        <w:u w:val="single"/>
      </w:rPr>
    </w:pPr>
    <w:r w:rsidRPr="00AA5F6F">
      <w:rPr>
        <w:rFonts w:eastAsia="Times New Roman" w:cs="Arial"/>
        <w:i/>
        <w:noProof/>
      </w:rPr>
      <w:t xml:space="preserve">e-mail: </w:t>
    </w:r>
    <w:hyperlink r:id="rId3" w:history="1">
      <w:r w:rsidR="001335C0" w:rsidRPr="009A0541">
        <w:rPr>
          <w:rStyle w:val="Hiperveza"/>
          <w:rFonts w:eastAsia="Times New Roman" w:cs="Arial"/>
          <w:i/>
          <w:noProof/>
        </w:rPr>
        <w:t>ured@os-mvlacica-labin.skole.hr</w:t>
      </w:r>
    </w:hyperlink>
  </w:p>
  <w:p w:rsidR="00EF66C1" w:rsidRDefault="00EF66C1" w:rsidP="00EF66C1"/>
  <w:p w:rsidR="00EF66C1" w:rsidRDefault="00EF66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283D"/>
    <w:multiLevelType w:val="hybridMultilevel"/>
    <w:tmpl w:val="DEDC26A2"/>
    <w:lvl w:ilvl="0" w:tplc="378C6EE4">
      <w:start w:val="622"/>
      <w:numFmt w:val="bullet"/>
      <w:lvlText w:val="-"/>
      <w:lvlJc w:val="left"/>
      <w:pPr>
        <w:ind w:left="720" w:hanging="360"/>
      </w:pPr>
      <w:rPr>
        <w:rFonts w:ascii="Arial" w:eastAsia="New York"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25"/>
    <w:rsid w:val="00047E25"/>
    <w:rsid w:val="001335C0"/>
    <w:rsid w:val="001C6FED"/>
    <w:rsid w:val="002524E9"/>
    <w:rsid w:val="00283879"/>
    <w:rsid w:val="003F6245"/>
    <w:rsid w:val="004743DC"/>
    <w:rsid w:val="004A1D12"/>
    <w:rsid w:val="004E0346"/>
    <w:rsid w:val="00523F73"/>
    <w:rsid w:val="005979A0"/>
    <w:rsid w:val="00724981"/>
    <w:rsid w:val="00742A63"/>
    <w:rsid w:val="007A39C1"/>
    <w:rsid w:val="008931FF"/>
    <w:rsid w:val="008D21A5"/>
    <w:rsid w:val="00955ED5"/>
    <w:rsid w:val="009C4783"/>
    <w:rsid w:val="009D01AF"/>
    <w:rsid w:val="00AE7160"/>
    <w:rsid w:val="00C438DF"/>
    <w:rsid w:val="00D62451"/>
    <w:rsid w:val="00E83CBB"/>
    <w:rsid w:val="00E87106"/>
    <w:rsid w:val="00EF66C1"/>
    <w:rsid w:val="00F466AC"/>
    <w:rsid w:val="00FF1029"/>
    <w:rsid w:val="00FF4C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47E25"/>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EF66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6C1"/>
  </w:style>
  <w:style w:type="paragraph" w:styleId="Podnoje">
    <w:name w:val="footer"/>
    <w:basedOn w:val="Normal"/>
    <w:link w:val="PodnojeChar"/>
    <w:uiPriority w:val="99"/>
    <w:unhideWhenUsed/>
    <w:rsid w:val="00EF66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6C1"/>
  </w:style>
  <w:style w:type="paragraph" w:styleId="Tekstbalonia">
    <w:name w:val="Balloon Text"/>
    <w:basedOn w:val="Normal"/>
    <w:link w:val="TekstbaloniaChar"/>
    <w:uiPriority w:val="99"/>
    <w:semiHidden/>
    <w:unhideWhenUsed/>
    <w:rsid w:val="00EF66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66C1"/>
    <w:rPr>
      <w:rFonts w:ascii="Tahoma" w:hAnsi="Tahoma" w:cs="Tahoma"/>
      <w:sz w:val="16"/>
      <w:szCs w:val="16"/>
    </w:rPr>
  </w:style>
  <w:style w:type="character" w:styleId="Hiperveza">
    <w:name w:val="Hyperlink"/>
    <w:basedOn w:val="Zadanifontodlomka"/>
    <w:uiPriority w:val="99"/>
    <w:unhideWhenUsed/>
    <w:rsid w:val="001335C0"/>
    <w:rPr>
      <w:color w:val="0000FF" w:themeColor="hyperlink"/>
      <w:u w:val="single"/>
    </w:rPr>
  </w:style>
  <w:style w:type="paragraph" w:styleId="Odlomakpopisa">
    <w:name w:val="List Paragraph"/>
    <w:basedOn w:val="Normal"/>
    <w:uiPriority w:val="34"/>
    <w:qFormat/>
    <w:rsid w:val="00955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47E25"/>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EF66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6C1"/>
  </w:style>
  <w:style w:type="paragraph" w:styleId="Podnoje">
    <w:name w:val="footer"/>
    <w:basedOn w:val="Normal"/>
    <w:link w:val="PodnojeChar"/>
    <w:uiPriority w:val="99"/>
    <w:unhideWhenUsed/>
    <w:rsid w:val="00EF66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6C1"/>
  </w:style>
  <w:style w:type="paragraph" w:styleId="Tekstbalonia">
    <w:name w:val="Balloon Text"/>
    <w:basedOn w:val="Normal"/>
    <w:link w:val="TekstbaloniaChar"/>
    <w:uiPriority w:val="99"/>
    <w:semiHidden/>
    <w:unhideWhenUsed/>
    <w:rsid w:val="00EF66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66C1"/>
    <w:rPr>
      <w:rFonts w:ascii="Tahoma" w:hAnsi="Tahoma" w:cs="Tahoma"/>
      <w:sz w:val="16"/>
      <w:szCs w:val="16"/>
    </w:rPr>
  </w:style>
  <w:style w:type="character" w:styleId="Hiperveza">
    <w:name w:val="Hyperlink"/>
    <w:basedOn w:val="Zadanifontodlomka"/>
    <w:uiPriority w:val="99"/>
    <w:unhideWhenUsed/>
    <w:rsid w:val="001335C0"/>
    <w:rPr>
      <w:color w:val="0000FF" w:themeColor="hyperlink"/>
      <w:u w:val="single"/>
    </w:rPr>
  </w:style>
  <w:style w:type="paragraph" w:styleId="Odlomakpopisa">
    <w:name w:val="List Paragraph"/>
    <w:basedOn w:val="Normal"/>
    <w:uiPriority w:val="34"/>
    <w:qFormat/>
    <w:rsid w:val="00955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mvlacica-labin.skole.hr" TargetMode="External"/><Relationship Id="rId2" Type="http://schemas.openxmlformats.org/officeDocument/2006/relationships/image" Target="media/image1.jpeg"/><Relationship Id="rId1" Type="http://schemas.openxmlformats.org/officeDocument/2006/relationships/hyperlink" Target="https://www.google.hr/url?sa=i&amp;rct=j&amp;q=&amp;esrc=s&amp;source=images&amp;cd=&amp;cad=rja&amp;uact=8&amp;ved=0ahUKEwjpg8uTzrfRAhUhBcAKHcgFBdIQjRwIBQ&amp;url=https://hr.wikipedia.org/wiki/Grb_Republike_Hrvatske&amp;psig=AFQjCNGcF488asNvsrhTW_zaQzu9dmhn0Q&amp;ust=148413883892658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839</Words>
  <Characters>4786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Santaleza</dc:creator>
  <cp:lastModifiedBy>Daniela Glavičić</cp:lastModifiedBy>
  <cp:revision>9</cp:revision>
  <cp:lastPrinted>2020-08-28T13:05:00Z</cp:lastPrinted>
  <dcterms:created xsi:type="dcterms:W3CDTF">2019-10-29T07:43:00Z</dcterms:created>
  <dcterms:modified xsi:type="dcterms:W3CDTF">2020-08-28T13:05:00Z</dcterms:modified>
</cp:coreProperties>
</file>