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Temeljem članka 113. Statuta </w:t>
      </w:r>
      <w:r>
        <w:rPr>
          <w:b/>
          <w:bCs/>
          <w:sz w:val="23"/>
          <w:szCs w:val="23"/>
        </w:rPr>
        <w:t xml:space="preserve">OŠ </w:t>
      </w:r>
      <w:r>
        <w:rPr>
          <w:b/>
          <w:bCs/>
          <w:sz w:val="23"/>
          <w:szCs w:val="23"/>
        </w:rPr>
        <w:t xml:space="preserve">Matije </w:t>
      </w:r>
      <w:proofErr w:type="spellStart"/>
      <w:r>
        <w:rPr>
          <w:b/>
          <w:bCs/>
          <w:sz w:val="23"/>
          <w:szCs w:val="23"/>
        </w:rPr>
        <w:t>Vlačića</w:t>
      </w:r>
      <w:proofErr w:type="spellEnd"/>
      <w:r>
        <w:rPr>
          <w:b/>
          <w:bCs/>
          <w:sz w:val="23"/>
          <w:szCs w:val="23"/>
        </w:rPr>
        <w:t xml:space="preserve"> Labin</w:t>
      </w:r>
      <w:r>
        <w:rPr>
          <w:sz w:val="23"/>
          <w:szCs w:val="23"/>
        </w:rPr>
        <w:t xml:space="preserve"> (dalje u tekstu: </w:t>
      </w:r>
      <w:r>
        <w:rPr>
          <w:b/>
          <w:bCs/>
          <w:sz w:val="23"/>
          <w:szCs w:val="23"/>
        </w:rPr>
        <w:t>Škola</w:t>
      </w:r>
      <w:r>
        <w:rPr>
          <w:sz w:val="23"/>
          <w:szCs w:val="23"/>
        </w:rPr>
        <w:t>), ravnatelj Š</w:t>
      </w:r>
      <w:r>
        <w:rPr>
          <w:sz w:val="23"/>
          <w:szCs w:val="23"/>
        </w:rPr>
        <w:t xml:space="preserve">kole Edi </w:t>
      </w:r>
      <w:proofErr w:type="spellStart"/>
      <w:r>
        <w:rPr>
          <w:sz w:val="23"/>
          <w:szCs w:val="23"/>
        </w:rPr>
        <w:t>Juričić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prof. donosi </w:t>
      </w:r>
    </w:p>
    <w:p w:rsidR="00264D44" w:rsidRDefault="00264D44" w:rsidP="00264D44">
      <w:pPr>
        <w:pStyle w:val="Default"/>
        <w:rPr>
          <w:sz w:val="23"/>
          <w:szCs w:val="23"/>
        </w:rPr>
      </w:pPr>
    </w:p>
    <w:p w:rsidR="00264D44" w:rsidRDefault="00264D44" w:rsidP="00264D44">
      <w:pPr>
        <w:pStyle w:val="Default"/>
        <w:rPr>
          <w:sz w:val="23"/>
          <w:szCs w:val="23"/>
        </w:rPr>
      </w:pPr>
    </w:p>
    <w:p w:rsidR="00264D44" w:rsidRDefault="000229D5" w:rsidP="00264D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PROCEDURU</w:t>
      </w:r>
    </w:p>
    <w:p w:rsidR="000229D5" w:rsidRDefault="000229D5" w:rsidP="00264D44">
      <w:pPr>
        <w:pStyle w:val="Default"/>
        <w:rPr>
          <w:sz w:val="28"/>
          <w:szCs w:val="28"/>
        </w:rPr>
      </w:pPr>
    </w:p>
    <w:p w:rsidR="00264D44" w:rsidRDefault="00264D44" w:rsidP="00264D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uvjetima sklapanja ugovora za usluge koje pruža Škola, izdavanja računa za pružene usluge te provođenju mjera naplate dospjelih nenaplaćenih potraživanja u Školi </w:t>
      </w:r>
    </w:p>
    <w:p w:rsidR="000229D5" w:rsidRDefault="000229D5" w:rsidP="00264D44">
      <w:pPr>
        <w:pStyle w:val="Default"/>
        <w:rPr>
          <w:sz w:val="28"/>
          <w:szCs w:val="28"/>
        </w:rPr>
      </w:pPr>
    </w:p>
    <w:p w:rsidR="00264D44" w:rsidRDefault="000229D5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  <w:r w:rsidR="00264D44">
        <w:rPr>
          <w:sz w:val="23"/>
          <w:szCs w:val="23"/>
        </w:rPr>
        <w:t xml:space="preserve">Članak 1. </w:t>
      </w:r>
    </w:p>
    <w:p w:rsidR="00264D44" w:rsidRDefault="00264D44" w:rsidP="00264D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Izrazi u Procedurama navedeni u muškom rodu su neutralni i odnose se na osobe oba spola. </w:t>
      </w:r>
    </w:p>
    <w:p w:rsidR="000229D5" w:rsidRDefault="000229D5" w:rsidP="00264D44">
      <w:pPr>
        <w:pStyle w:val="Default"/>
        <w:rPr>
          <w:sz w:val="22"/>
          <w:szCs w:val="22"/>
        </w:rPr>
      </w:pP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pruža usluge: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organiziranja i pružanja usluga školske marende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korištenju usluga produženog boravka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iznajmljivanje školske </w:t>
      </w:r>
      <w:r w:rsidR="000229D5">
        <w:rPr>
          <w:sz w:val="23"/>
          <w:szCs w:val="23"/>
        </w:rPr>
        <w:t>s</w:t>
      </w:r>
      <w:r>
        <w:rPr>
          <w:sz w:val="23"/>
          <w:szCs w:val="23"/>
        </w:rPr>
        <w:t xml:space="preserve">portske dvorane </w:t>
      </w:r>
    </w:p>
    <w:p w:rsidR="000229D5" w:rsidRDefault="000229D5" w:rsidP="00264D44">
      <w:pPr>
        <w:pStyle w:val="Default"/>
        <w:rPr>
          <w:sz w:val="23"/>
          <w:szCs w:val="23"/>
        </w:rPr>
      </w:pPr>
    </w:p>
    <w:p w:rsidR="00264D44" w:rsidRDefault="000229D5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264D44">
        <w:rPr>
          <w:sz w:val="23"/>
          <w:szCs w:val="23"/>
        </w:rPr>
        <w:t xml:space="preserve">Članak 2. </w:t>
      </w:r>
    </w:p>
    <w:p w:rsidR="000229D5" w:rsidRDefault="000229D5" w:rsidP="00264D44">
      <w:pPr>
        <w:pStyle w:val="Default"/>
        <w:rPr>
          <w:sz w:val="23"/>
          <w:szCs w:val="23"/>
        </w:rPr>
      </w:pP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Ovim Procedurama uređuju se: </w:t>
      </w:r>
    </w:p>
    <w:p w:rsidR="00264D44" w:rsidRDefault="00264D44" w:rsidP="00264D44">
      <w:pPr>
        <w:pStyle w:val="Default"/>
        <w:spacing w:after="123"/>
        <w:rPr>
          <w:sz w:val="23"/>
          <w:szCs w:val="23"/>
        </w:rPr>
      </w:pPr>
      <w:r>
        <w:rPr>
          <w:sz w:val="23"/>
          <w:szCs w:val="23"/>
        </w:rPr>
        <w:t xml:space="preserve">1. uvjeti za </w:t>
      </w:r>
      <w:r w:rsidR="000229D5">
        <w:rPr>
          <w:sz w:val="23"/>
          <w:szCs w:val="23"/>
        </w:rPr>
        <w:t xml:space="preserve">sklapanje ugovora s korisnicima(roditelj/skrbnik </w:t>
      </w:r>
      <w:r>
        <w:rPr>
          <w:sz w:val="23"/>
          <w:szCs w:val="23"/>
        </w:rPr>
        <w:t xml:space="preserve">djeteta) </w:t>
      </w:r>
    </w:p>
    <w:p w:rsidR="00264D44" w:rsidRDefault="00264D44" w:rsidP="00264D44">
      <w:pPr>
        <w:pStyle w:val="Default"/>
        <w:spacing w:after="123"/>
        <w:rPr>
          <w:sz w:val="23"/>
          <w:szCs w:val="23"/>
        </w:rPr>
      </w:pPr>
      <w:r>
        <w:rPr>
          <w:sz w:val="23"/>
          <w:szCs w:val="23"/>
        </w:rPr>
        <w:t xml:space="preserve">2. uvjeti izdavanja računa za pružene usluge te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mjere naplate, odnosno plaćanja dospjelih, a nenaplaćenih potraživanja u Školi. </w:t>
      </w:r>
    </w:p>
    <w:p w:rsidR="00264D44" w:rsidRDefault="00264D44" w:rsidP="00264D44">
      <w:pPr>
        <w:pStyle w:val="Default"/>
        <w:rPr>
          <w:sz w:val="23"/>
          <w:szCs w:val="23"/>
        </w:rPr>
      </w:pPr>
    </w:p>
    <w:p w:rsidR="00264D44" w:rsidRDefault="000229D5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264D44">
        <w:rPr>
          <w:sz w:val="23"/>
          <w:szCs w:val="23"/>
        </w:rPr>
        <w:t xml:space="preserve">Članak 3. </w:t>
      </w:r>
    </w:p>
    <w:p w:rsidR="000229D5" w:rsidRDefault="000229D5" w:rsidP="00264D44">
      <w:pPr>
        <w:pStyle w:val="Default"/>
        <w:rPr>
          <w:sz w:val="23"/>
          <w:szCs w:val="23"/>
        </w:rPr>
      </w:pP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s korisnikom (roditelj/skrbnik djeteta) sklapa Ugovor o organiziranju i pružanju usluge školske marende i/ili korištenju usluga produženog boravka za dijete korisnika usluge. Pravo na subvenciju učešća u cijeni produženog boravka i školske marende korisnici ostvaruju putem Rješenja i Potvrda o socijalnoj skrbi koja izdaje Grad Labin i druge Općine u kojima korisnici imaju prebivalište.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Grad Labin odnosno Općine dostavljaju Rješenja ili Potvrde za korisnike koji ostvaruju pravo na subvenciju učešća u cijeni školske marende i produženog boravka . </w:t>
      </w:r>
    </w:p>
    <w:p w:rsidR="00264D44" w:rsidRDefault="00264D44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Tajnik i računovođa Škole u suradnji s razrednicima i učiteljima u produženom boravku vode popis korisnika kojima se pruža usluga. </w:t>
      </w:r>
    </w:p>
    <w:p w:rsidR="000229D5" w:rsidRDefault="000229D5" w:rsidP="00264D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Kuhari</w:t>
      </w:r>
      <w:r w:rsidR="00264D44">
        <w:rPr>
          <w:sz w:val="23"/>
          <w:szCs w:val="23"/>
        </w:rPr>
        <w:t xml:space="preserve"> škole/učiteljice u produženom boravku vode evidenciju o pruženim uslugama za školsku marendu i produženi boravak te su istu dužne predati u tajništvo Škole najkasnije 1. (prvog) u mjesecu za prethodni mjesec.</w:t>
      </w:r>
    </w:p>
    <w:p w:rsidR="00264D44" w:rsidRDefault="00264D44" w:rsidP="00264D44">
      <w:pPr>
        <w:pStyle w:val="Default"/>
        <w:pageBreakBefore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>Voditelj računovodstva na temelju dobivenih evidencija o pruženim uslugama školske marende i produženog boravka, izrađuje obračun te izdaje mjesečni račun-uplatnicu najkasnije do 10-</w:t>
      </w:r>
      <w:proofErr w:type="spellStart"/>
      <w:r>
        <w:rPr>
          <w:rFonts w:cs="Times New Roman"/>
          <w:color w:val="auto"/>
          <w:sz w:val="23"/>
          <w:szCs w:val="23"/>
        </w:rPr>
        <w:t>og</w:t>
      </w:r>
      <w:proofErr w:type="spellEnd"/>
      <w:r>
        <w:rPr>
          <w:rFonts w:cs="Times New Roman"/>
          <w:color w:val="auto"/>
          <w:sz w:val="23"/>
          <w:szCs w:val="23"/>
        </w:rPr>
        <w:t xml:space="preserve"> u tekućem mjesecu za prethodni mjesec s datumom dospijeća do 15-</w:t>
      </w:r>
      <w:proofErr w:type="spellStart"/>
      <w:r>
        <w:rPr>
          <w:rFonts w:cs="Times New Roman"/>
          <w:color w:val="auto"/>
          <w:sz w:val="23"/>
          <w:szCs w:val="23"/>
        </w:rPr>
        <w:t>og</w:t>
      </w:r>
      <w:proofErr w:type="spellEnd"/>
      <w:r>
        <w:rPr>
          <w:rFonts w:cs="Times New Roman"/>
          <w:color w:val="auto"/>
          <w:sz w:val="23"/>
          <w:szCs w:val="23"/>
        </w:rPr>
        <w:t xml:space="preserve"> u tekućem mjesecu za prethodni mjesec.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</w:t>
      </w: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4.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0229D5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Mjere naplate dospjelih, a nenaplaćenih potraživanja iz članka 1. ovih Procedura odnose se na:</w:t>
      </w: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- organiziranje</w:t>
      </w:r>
      <w:r w:rsidR="00264D44">
        <w:rPr>
          <w:rFonts w:cs="Times New Roman"/>
          <w:color w:val="auto"/>
          <w:sz w:val="23"/>
          <w:szCs w:val="23"/>
        </w:rPr>
        <w:t xml:space="preserve"> i pruž</w:t>
      </w:r>
      <w:r>
        <w:rPr>
          <w:rFonts w:cs="Times New Roman"/>
          <w:color w:val="auto"/>
          <w:sz w:val="23"/>
          <w:szCs w:val="23"/>
        </w:rPr>
        <w:t>anje</w:t>
      </w:r>
      <w:r w:rsidR="00264D44">
        <w:rPr>
          <w:rFonts w:cs="Times New Roman"/>
          <w:color w:val="auto"/>
          <w:sz w:val="23"/>
          <w:szCs w:val="23"/>
        </w:rPr>
        <w:t xml:space="preserve"> usluge školske marende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- koriš</w:t>
      </w:r>
      <w:r w:rsidR="000229D5">
        <w:rPr>
          <w:rFonts w:cs="Times New Roman"/>
          <w:color w:val="auto"/>
          <w:sz w:val="23"/>
          <w:szCs w:val="23"/>
        </w:rPr>
        <w:t>tenje</w:t>
      </w:r>
      <w:r>
        <w:rPr>
          <w:rFonts w:cs="Times New Roman"/>
          <w:color w:val="auto"/>
          <w:sz w:val="23"/>
          <w:szCs w:val="23"/>
        </w:rPr>
        <w:t xml:space="preserve"> usluga produženog boravka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 iznajmljivanje školske </w:t>
      </w:r>
      <w:r w:rsidR="000229D5">
        <w:rPr>
          <w:rFonts w:cs="Times New Roman"/>
          <w:color w:val="auto"/>
          <w:sz w:val="23"/>
          <w:szCs w:val="23"/>
        </w:rPr>
        <w:t>s</w:t>
      </w:r>
      <w:r>
        <w:rPr>
          <w:rFonts w:cs="Times New Roman"/>
          <w:color w:val="auto"/>
          <w:sz w:val="23"/>
          <w:szCs w:val="23"/>
        </w:rPr>
        <w:t xml:space="preserve">portske dvorane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5.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0229D5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Mjere naplate dospjelih, a nenaplaćenih potraživanja obuhvaćaju sljedeće: </w:t>
      </w:r>
    </w:p>
    <w:p w:rsidR="000229D5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 usmeni kontakt, </w:t>
      </w:r>
    </w:p>
    <w:p w:rsidR="000229D5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- pisana opomena - podsjetnik, IOS s priloženom karticom kupca( roditelja/učenika)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- pokretanje ovršnog postupka radi naplate potraživanja.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89417B" w:rsidRDefault="0089417B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6.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Razrednici su dužni voditi mjesečnu evidenciju o učenicima koji su korisnici školske marende. Roditelj/staratelj ili učenik/</w:t>
      </w:r>
      <w:proofErr w:type="spellStart"/>
      <w:r>
        <w:rPr>
          <w:rFonts w:cs="Times New Roman"/>
          <w:color w:val="auto"/>
          <w:sz w:val="23"/>
          <w:szCs w:val="23"/>
        </w:rPr>
        <w:t>ca</w:t>
      </w:r>
      <w:proofErr w:type="spellEnd"/>
      <w:r>
        <w:rPr>
          <w:rFonts w:cs="Times New Roman"/>
          <w:color w:val="auto"/>
          <w:sz w:val="23"/>
          <w:szCs w:val="23"/>
        </w:rPr>
        <w:t xml:space="preserve"> dužni su dostaviti razredniku potvrdu o uplati na uvid.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Učitelji u produženom boravku dužni su voditi evidenciju korisnika produženog boravka za svaki mjesec po danu i voditi evidenciju o uplatama računa- uplatnica.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Voditelj računovodstva Škole svakog 25. dana u mjesecu ima obvezu pripremiti listu dužnika koju upućuje ravnatelju Škole na uvid te razrednicima odnosno učiteljima u produženom boravku.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Ukoliko obveze nisu izvršene u ugovorenim rokovima, poduzimaju se mjere za naplatu.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Prvi korak su usmeni kontakti razrednika i učitelja u produženom boravku s dužnikom o čemu je potrebno sastaviti zabilješku (datum, ime i prezime osobe, razlog neplaćanja). Zabilješka se dodaje na listu dužnika iz st. 1. ovog članka.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Za provođenje mjere usmenog kontakta s dužnikom zadužen je razrednik odjela i učitelji u produženom boravku. Nakon formiranja liste dužnika istu prosljeđuju računovođi/ tajniku ustanove. </w:t>
      </w:r>
    </w:p>
    <w:p w:rsidR="00264D44" w:rsidRDefault="00264D44" w:rsidP="00264D4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  <w:sz w:val="23"/>
          <w:szCs w:val="23"/>
        </w:rPr>
        <w:t>Nakon proteka roka od 15 dana voditelj računovodstva priprema novu listu dužnika te istu prosljeđuje tajniku. Ukoliko se dug ne podmiri u roku 15 dana, tajnik Škole ima obvezu na dokaziv način dužniku uputiti pisanu opomenu – podsjetnik (uručiti preko razrednika /učitelja u produženom boravku osobno, preporučena pošta/povratnica i sl</w:t>
      </w:r>
      <w:r w:rsidR="000229D5">
        <w:rPr>
          <w:rFonts w:cs="Times New Roman"/>
          <w:color w:val="auto"/>
          <w:sz w:val="23"/>
          <w:szCs w:val="23"/>
        </w:rPr>
        <w:t>.</w:t>
      </w:r>
    </w:p>
    <w:p w:rsidR="00264D44" w:rsidRDefault="00264D44" w:rsidP="00264D44">
      <w:pPr>
        <w:pStyle w:val="Default"/>
        <w:pageBreakBefore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 xml:space="preserve">U opomeni - podsjetniku potrebno je navesti podatke o dužniku, iznos duga i pravni temelj po kojem ga se poziva na plaćanje (ugovor, račun i dr.).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Liste dužnika zajedno s opomenama – podsjetnicima čuvaju se kod tajnika škole.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7.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Kada su iscrpljene sve mjere,a naplata nije izvršena , pokreće se ovršni postupak radi naplate potraživanja. Za pokretanje i praćenje ovršnog postupka zadužen je tajnik Škole.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8.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Ukoliko se utvrdi da se potraživanja ne mogu namiriti primjenom mjera iz č</w:t>
      </w:r>
      <w:r w:rsidR="000229D5">
        <w:rPr>
          <w:rFonts w:cs="Times New Roman"/>
          <w:color w:val="auto"/>
          <w:sz w:val="23"/>
          <w:szCs w:val="23"/>
        </w:rPr>
        <w:t>l. 2. o</w:t>
      </w:r>
      <w:r>
        <w:rPr>
          <w:rFonts w:cs="Times New Roman"/>
          <w:color w:val="auto"/>
          <w:sz w:val="23"/>
          <w:szCs w:val="23"/>
        </w:rPr>
        <w:t>ve Procedure,</w:t>
      </w:r>
      <w:r w:rsidR="000229D5">
        <w:rPr>
          <w:rFonts w:cs="Times New Roman"/>
          <w:color w:val="auto"/>
          <w:sz w:val="23"/>
          <w:szCs w:val="23"/>
        </w:rPr>
        <w:t xml:space="preserve"> </w:t>
      </w:r>
      <w:r>
        <w:rPr>
          <w:rFonts w:cs="Times New Roman"/>
          <w:color w:val="auto"/>
          <w:sz w:val="23"/>
          <w:szCs w:val="23"/>
        </w:rPr>
        <w:t xml:space="preserve">može se podnijeti zahtjev za djelomični ili potpuni otpis potraživanja. Sukladno donesenim aktima Osnivača ustanove djelomični ili potpuni otpis potraživanja obavlja se na temelju slijedećih kriterija i uvjeta: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-kada se utvrdi da su potraživanja nenaplativa temeljem pravomoćnih odluka nadležnog tijela (odluke suda i sl.),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-kada se utvrdi da su potraživanja nenaplativa zbog nastajanja zastare sukladno važećim zakonskim propisima,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-kada se utvrdi da potraživanja nemaju valjanu pravnu osnovu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-u slučajevima izvanrednih socijalno-ekonomskih okolnosti,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Odluku o otpisu donosi ravnatelj. </w:t>
      </w: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Ukoliko se utvrdi da se potraživanja ne mogu namiriti primjenom mjera iz članka 5. ovih Procedura radi izvanrednih socijalno-ekonomskih okolnosti, ravnatelj ustanove može Školskom odboru podnijeti prijedlog za djelomični ili potpuni otpis potraživanja. U ovom slučaju odluku donosi Školski odbor.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9. </w:t>
      </w:r>
    </w:p>
    <w:p w:rsidR="000229D5" w:rsidRDefault="000229D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Voditelj računovodstva, tajnik , razrednik i učitelji u produženom boravku dužni su kontinuirano pratiti stanje i poduzimati mjere naplate potraživanja svatko iz svog djelokruga rada te kvartalno sastavljati izvješća o poduzetim mjerama za naplatu potraživanja. U sastavljanju Izvješća sudjeluju svi sudionici postupka naplate potraživanja popunjavajući ga podacima iz svog djelokruga obavljenog posla. </w:t>
      </w:r>
    </w:p>
    <w:p w:rsidR="00264D44" w:rsidRDefault="00264D44" w:rsidP="00264D4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  <w:sz w:val="23"/>
          <w:szCs w:val="23"/>
        </w:rPr>
        <w:t>Izvješće mora sadržavati iznos dospjelog, a nenaplaćenog potraživanja, broj opomena, broj postupaka prisilne naplate, broj djelomično ili potpuno otpisanih potraživanja te iznos naplaćenog dospjelog potraživanja. Izvješće se sastavlja do 25. u mjesecu za protekli kvartal i dostavlja ravnatelju škole.</w:t>
      </w:r>
      <w:r w:rsidR="000229D5">
        <w:rPr>
          <w:rFonts w:cs="Times New Roman"/>
          <w:color w:val="auto"/>
          <w:sz w:val="23"/>
          <w:szCs w:val="23"/>
        </w:rPr>
        <w:t xml:space="preserve"> </w:t>
      </w:r>
      <w:r>
        <w:rPr>
          <w:rFonts w:cs="Times New Roman"/>
          <w:color w:val="auto"/>
          <w:sz w:val="23"/>
          <w:szCs w:val="23"/>
        </w:rPr>
        <w:t xml:space="preserve">Obrazac Izvješća sastavni je dio ovih Procedura. </w:t>
      </w:r>
    </w:p>
    <w:p w:rsidR="00264D44" w:rsidRDefault="00DB61B5" w:rsidP="00264D44">
      <w:pPr>
        <w:pStyle w:val="Default"/>
        <w:pageBreakBefore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 xml:space="preserve">                                                                      </w:t>
      </w:r>
      <w:r w:rsidR="00264D44">
        <w:rPr>
          <w:rFonts w:cs="Times New Roman"/>
          <w:color w:val="auto"/>
          <w:sz w:val="23"/>
          <w:szCs w:val="23"/>
        </w:rPr>
        <w:t xml:space="preserve">Članak 10. </w:t>
      </w:r>
    </w:p>
    <w:p w:rsidR="00DB61B5" w:rsidRDefault="00DB61B5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264D44" w:rsidRDefault="00264D44" w:rsidP="00264D4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Ove Procedure stupaju na snagu danom donošenja te će se objaviti na web stranicama škole. </w:t>
      </w:r>
    </w:p>
    <w:p w:rsidR="00E01FEF" w:rsidRDefault="00E01FEF" w:rsidP="00264D44">
      <w:pPr>
        <w:pStyle w:val="Default"/>
        <w:rPr>
          <w:rFonts w:cs="Times New Roman"/>
          <w:color w:val="auto"/>
          <w:sz w:val="23"/>
          <w:szCs w:val="23"/>
        </w:rPr>
      </w:pPr>
    </w:p>
    <w:p w:rsidR="00E01FEF" w:rsidRDefault="00E01FEF" w:rsidP="00264D44">
      <w:pPr>
        <w:pStyle w:val="Default"/>
        <w:rPr>
          <w:rFonts w:cs="Times New Roman"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840"/>
        <w:gridCol w:w="1700"/>
        <w:gridCol w:w="1700"/>
        <w:gridCol w:w="2234"/>
      </w:tblGrid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RED. </w:t>
            </w:r>
          </w:p>
          <w:p w:rsidR="00727DDD" w:rsidRPr="0035377A" w:rsidRDefault="00727DDD" w:rsidP="00727DDD">
            <w:pPr>
              <w:pStyle w:val="Default"/>
              <w:rPr>
                <w:sz w:val="22"/>
                <w:szCs w:val="22"/>
              </w:rPr>
            </w:pPr>
            <w:r w:rsidRPr="0035377A">
              <w:rPr>
                <w:sz w:val="22"/>
                <w:szCs w:val="22"/>
              </w:rPr>
              <w:t xml:space="preserve">BROJ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3"/>
                <w:szCs w:val="23"/>
              </w:rPr>
            </w:pPr>
            <w:r w:rsidRPr="0035377A">
              <w:rPr>
                <w:sz w:val="23"/>
                <w:szCs w:val="23"/>
              </w:rPr>
              <w:t>AKTIVNOST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ODGOVORNOST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3"/>
                <w:szCs w:val="23"/>
              </w:rPr>
            </w:pPr>
            <w:r w:rsidRPr="0035377A">
              <w:rPr>
                <w:sz w:val="23"/>
                <w:szCs w:val="23"/>
              </w:rPr>
              <w:t xml:space="preserve">DOKUMENT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3"/>
                <w:szCs w:val="23"/>
              </w:rPr>
            </w:pPr>
            <w:r w:rsidRPr="0035377A">
              <w:rPr>
                <w:sz w:val="23"/>
                <w:szCs w:val="23"/>
              </w:rPr>
              <w:t xml:space="preserve">ROK </w:t>
            </w:r>
          </w:p>
          <w:p w:rsidR="00727DDD" w:rsidRPr="0035377A" w:rsidRDefault="00727DDD" w:rsidP="00727DDD">
            <w:pPr>
              <w:pStyle w:val="Default"/>
              <w:rPr>
                <w:sz w:val="23"/>
                <w:szCs w:val="23"/>
              </w:rPr>
            </w:pP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Vođenje evidencije</w:t>
            </w:r>
          </w:p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Dospjelih i nedospjelih</w:t>
            </w:r>
          </w:p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potraživanja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Računovođa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Evidencija potraživanja-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Knjigovodstvena kartica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Po dospijeću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</w:pPr>
            <w:r w:rsidRPr="0035377A">
              <w:t>Utvrđivanje dospjelog</w:t>
            </w:r>
          </w:p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nenaplaćenog potraživanja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Računovođa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Knjiga IRA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25. u mjesecu za protekli mjesec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Kontaktiranje dužnika-</w:t>
            </w:r>
          </w:p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Upućivanje opomene i požurnice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Računovođa,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tajnica ,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razrednik,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učitelji produženog boravka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Podsjetnik-opomena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25. u mjesecu za protekli kvartal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Upućivanje opomene pred ovrhu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Računovođa,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tajnica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Opomena pred </w:t>
            </w:r>
          </w:p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ovrhu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Odmah po dobivenom izvješću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Pokretanje ovršnog postupka uz odobrenje ravnatelja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Tajnica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Rješenje o pokretanju ovrhe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Odmah po dobivenom izvješću uz prethodnu suglasnost ravnatelja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Izvještavanje o pokrenutim ovrhama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Tajnica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Izvještaj o pokrenutim ovrhama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Po pokretanju i pravomoćnosti </w:t>
            </w:r>
          </w:p>
        </w:tc>
      </w:tr>
      <w:tr w:rsidR="00727DDD" w:rsidRPr="0035377A" w:rsidTr="00E01FE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281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0" w:type="dxa"/>
          </w:tcPr>
          <w:p w:rsidR="00727DDD" w:rsidRPr="0035377A" w:rsidRDefault="00727DDD" w:rsidP="00727DDD">
            <w:pPr>
              <w:pStyle w:val="Default"/>
              <w:jc w:val="center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>Izvještavanje o rezultatima ovrha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Tajnica, računovođa </w:t>
            </w:r>
          </w:p>
        </w:tc>
        <w:tc>
          <w:tcPr>
            <w:tcW w:w="1700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Evidencija prisilne naplate </w:t>
            </w:r>
          </w:p>
        </w:tc>
        <w:tc>
          <w:tcPr>
            <w:tcW w:w="2234" w:type="dxa"/>
          </w:tcPr>
          <w:p w:rsidR="00727DDD" w:rsidRPr="0035377A" w:rsidRDefault="00727DDD" w:rsidP="00727DDD">
            <w:pPr>
              <w:pStyle w:val="Default"/>
              <w:rPr>
                <w:sz w:val="20"/>
                <w:szCs w:val="20"/>
              </w:rPr>
            </w:pPr>
            <w:r w:rsidRPr="0035377A">
              <w:rPr>
                <w:sz w:val="20"/>
                <w:szCs w:val="20"/>
              </w:rPr>
              <w:t xml:space="preserve">Tijek godine </w:t>
            </w:r>
          </w:p>
        </w:tc>
      </w:tr>
    </w:tbl>
    <w:p w:rsidR="003C26D0" w:rsidRDefault="003C26D0" w:rsidP="0035377A"/>
    <w:p w:rsidR="00E01FEF" w:rsidRDefault="00E01FEF" w:rsidP="0035377A"/>
    <w:p w:rsidR="00594ABA" w:rsidRDefault="00594ABA" w:rsidP="0035377A">
      <w:r>
        <w:t xml:space="preserve">                                                                                                                       Ravnatelj:</w:t>
      </w:r>
    </w:p>
    <w:p w:rsidR="00594ABA" w:rsidRDefault="00594ABA" w:rsidP="0035377A">
      <w:r>
        <w:t xml:space="preserve">                                                                                                                      Edi </w:t>
      </w:r>
      <w:proofErr w:type="spellStart"/>
      <w:r>
        <w:t>Juričić</w:t>
      </w:r>
      <w:proofErr w:type="spellEnd"/>
      <w:r>
        <w:t>, prof.</w:t>
      </w:r>
      <w:bookmarkStart w:id="0" w:name="_GoBack"/>
      <w:bookmarkEnd w:id="0"/>
    </w:p>
    <w:p w:rsidR="00594ABA" w:rsidRDefault="00594ABA" w:rsidP="0035377A"/>
    <w:p w:rsidR="00594ABA" w:rsidRDefault="00594ABA" w:rsidP="0035377A"/>
    <w:p w:rsidR="00E01FEF" w:rsidRDefault="00E01FEF" w:rsidP="0035377A">
      <w:r>
        <w:t>Klasa: 406-01/15-01/</w:t>
      </w:r>
      <w:r w:rsidR="00CE0301">
        <w:t>5</w:t>
      </w:r>
    </w:p>
    <w:p w:rsidR="00E01FEF" w:rsidRDefault="00E01FEF" w:rsidP="0035377A">
      <w:proofErr w:type="spellStart"/>
      <w:r>
        <w:t>Urbroj</w:t>
      </w:r>
      <w:proofErr w:type="spellEnd"/>
      <w:r>
        <w:t>: 2144-15-01-15-1</w:t>
      </w:r>
    </w:p>
    <w:p w:rsidR="00E01FEF" w:rsidRDefault="00CE0301" w:rsidP="0035377A">
      <w:r>
        <w:t>Labin, 17.</w:t>
      </w:r>
      <w:r w:rsidR="00E01FEF">
        <w:t>12.2015. godine</w:t>
      </w:r>
    </w:p>
    <w:sectPr w:rsidR="00E0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4"/>
    <w:rsid w:val="000229D5"/>
    <w:rsid w:val="00264D44"/>
    <w:rsid w:val="0035377A"/>
    <w:rsid w:val="003C26D0"/>
    <w:rsid w:val="00401BA4"/>
    <w:rsid w:val="00454B7D"/>
    <w:rsid w:val="00562F46"/>
    <w:rsid w:val="00594ABA"/>
    <w:rsid w:val="006567B0"/>
    <w:rsid w:val="00727DDD"/>
    <w:rsid w:val="0089417B"/>
    <w:rsid w:val="009C0AEE"/>
    <w:rsid w:val="00B95A77"/>
    <w:rsid w:val="00CE0301"/>
    <w:rsid w:val="00DB61B5"/>
    <w:rsid w:val="00E01FEF"/>
    <w:rsid w:val="00E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4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5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4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5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2016-02-15T13:21:00Z</cp:lastPrinted>
  <dcterms:created xsi:type="dcterms:W3CDTF">2016-02-15T12:42:00Z</dcterms:created>
  <dcterms:modified xsi:type="dcterms:W3CDTF">2016-02-15T13:23:00Z</dcterms:modified>
</cp:coreProperties>
</file>